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TINAGLI</w:t>
      </w:r>
      <w:r>
        <w:tab/>
        <w:tab/>
      </w:r>
      <w:r>
        <w:rPr>
          <w:color w:val="111111"/>
          <w:sz w:val="24"/>
        </w:rPr>
        <w:t>(A9-0011/2020)</w:t>
      </w:r>
      <w:r>
        <w:tab/>
      </w:r>
      <w:r>
        <w:rPr>
          <w:b/>
          <w:color w:val="111111"/>
          <w:sz w:val="24"/>
        </w:rPr>
        <w:t>[appoint.]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>Appointment of a member of the Single Resolution Board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Economic and Monetary Affairs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2636"/>
        <w:gridCol w:w="992"/>
        <w:gridCol w:w="1968"/>
        <w:gridCol w:w="1250"/>
        <w:gridCol w:w="709"/>
        <w:gridCol w:w="312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263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Subject of the amendment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Am No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Author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3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 xml:space="preserve">vote: appointment of </w:t>
            </w:r>
            <w:r>
              <w:rPr>
                <w:b/>
                <w:i/>
                <w:sz w:val="22"/>
              </w:rPr>
              <w:t>Jesús Saurina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Secret ballot (Rule 191(1))</w:t>
            </w: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Members wishing to support the appointment should vote “in favour”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Members opposing the appointment should vote “against”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