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5.9.0.0 -->
  <w:body>
    <w:p>
      <w:pPr>
        <w:ind w:right="-716"/>
        <w:rPr>
          <w:b/>
          <w:i/>
        </w:rPr>
      </w:pPr>
      <w:r>
        <w:rPr>
          <w:b/>
          <w:caps/>
          <w:sz w:val="16"/>
        </w:rPr>
        <w:t>TABLING SERVICE</w:t>
      </w:r>
      <w:r>
        <w:rPr>
          <w:smallCaps/>
          <w:sz w:val="16"/>
        </w:rPr>
        <w:tab/>
      </w:r>
      <w:r>
        <w:rPr>
          <w:smallCaps/>
          <w:sz w:val="16"/>
        </w:rPr>
        <w:tab/>
      </w:r>
      <w:r>
        <w:rPr>
          <w:smallCaps/>
          <w:sz w:val="16"/>
        </w:rPr>
        <w:tab/>
      </w:r>
      <w:r>
        <w:rPr>
          <w:smallCaps/>
          <w:sz w:val="16"/>
        </w:rPr>
        <w:tab/>
      </w:r>
      <w:r>
        <w:rPr>
          <w:smallCaps/>
          <w:sz w:val="16"/>
        </w:rPr>
        <w:tab/>
      </w:r>
      <w:r>
        <w:rPr>
          <w:smallCaps/>
          <w:sz w:val="16"/>
        </w:rPr>
        <w:tab/>
      </w:r>
      <w:r>
        <w:rPr>
          <w:smallCaps/>
          <w:sz w:val="16"/>
        </w:rPr>
        <w:tab/>
      </w:r>
      <w:r>
        <w:rPr>
          <w:smallCaps/>
          <w:sz w:val="16"/>
        </w:rPr>
        <w:tab/>
      </w:r>
      <w:r>
        <w:rPr>
          <w:smallCaps/>
          <w:sz w:val="16"/>
        </w:rPr>
        <w:tab/>
      </w:r>
      <w:r>
        <w:rPr>
          <w:b/>
          <w:i/>
        </w:rPr>
        <w:t>INDICATIVE VOTING LIST</w:t>
      </w:r>
    </w:p>
    <w:p/>
    <w:p>
      <w:pPr>
        <w:jc w:val="center"/>
      </w:pPr>
      <w:r>
        <w:rPr>
          <w:b/>
          <w:i/>
          <w:smallCaps/>
          <w:sz w:val="40"/>
        </w:rPr>
        <w:t>FINAL VERSION</w:t>
      </w:r>
    </w:p>
    <w:p/>
    <w:p>
      <w:r>
        <w:tab/>
      </w:r>
      <w:r>
        <w:rPr>
          <w:i/>
          <w:color w:val="111111"/>
          <w:sz w:val="24"/>
        </w:rPr>
        <w:t>Report:</w:t>
      </w:r>
      <w:r>
        <w:tab/>
      </w:r>
      <w:r>
        <w:rPr>
          <w:color w:val="111111"/>
          <w:sz w:val="24"/>
        </w:rPr>
        <w:t>BLINKEVIČIŪTĖ</w:t>
      </w:r>
      <w:r>
        <w:tab/>
        <w:tab/>
      </w:r>
      <w:r>
        <w:rPr>
          <w:color w:val="111111"/>
          <w:sz w:val="24"/>
        </w:rPr>
        <w:t>(A9-0015/2019)</w:t>
      </w:r>
      <w:r>
        <w:tab/>
      </w:r>
      <w:r>
        <w:rPr>
          <w:b/>
          <w:color w:val="111111"/>
          <w:sz w:val="24"/>
        </w:rPr>
        <w:t>[***I]</w:t>
      </w:r>
    </w:p>
    <w:p>
      <w:r>
        <w:tab/>
      </w:r>
      <w:r>
        <w:tab/>
      </w:r>
      <w:r>
        <w:tab/>
      </w:r>
      <w:r>
        <w:rPr>
          <w:color w:val="111111"/>
          <w:sz w:val="24"/>
        </w:rPr>
        <w:t>European Globalisation Adjustment Fund (2014-2020)</w:t>
      </w:r>
    </w:p>
    <w:p>
      <w:pPr>
        <w:rPr>
          <w:color w:val="111111"/>
          <w:sz w:val="24"/>
        </w:rPr>
      </w:pPr>
    </w:p>
    <w:p>
      <w:r>
        <w:tab/>
      </w:r>
      <w:r>
        <w:rPr>
          <w:i/>
          <w:color w:val="111111"/>
          <w:sz w:val="24"/>
        </w:rPr>
        <w:t>Committee:</w:t>
      </w:r>
      <w:r>
        <w:tab/>
      </w:r>
      <w:r>
        <w:rPr>
          <w:color w:val="111111"/>
          <w:sz w:val="24"/>
        </w:rPr>
        <w:t>Committee on Employment and Social Affairs</w:t>
      </w:r>
    </w:p>
    <w:p>
      <w:pPr>
        <w:rPr>
          <w:color w:val="111111"/>
          <w:sz w:val="24"/>
        </w:rPr>
      </w:pPr>
    </w:p>
    <w:tbl>
      <w:tblPr>
        <w:tblW w:w="0" w:type="auto"/>
        <w:tblInd w:w="108" w:type="dxa"/>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Look w:val="0000"/>
      </w:tblPr>
      <w:tblGrid>
        <w:gridCol w:w="6096"/>
        <w:gridCol w:w="1250"/>
        <w:gridCol w:w="709"/>
        <w:gridCol w:w="2676"/>
      </w:tblGrid>
      <w:tr>
        <w:tblPrEx>
          <w:tblW w:w="0" w:type="auto"/>
          <w:tblInd w:w="108" w:type="dxa"/>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Look w:val="0000"/>
        </w:tblPrEx>
        <w:trPr>
          <w:tblHeader/>
        </w:trPr>
        <w:tc>
          <w:tcPr>
            <w:tcW w:w="6096" w:type="dxa"/>
            <w:tcBorders>
              <w:bottom w:val="single" w:sz="4" w:space="0" w:color="auto"/>
            </w:tcBorders>
            <w:shd w:val="pct25" w:color="auto" w:fill="FFFFFF"/>
          </w:tcPr>
          <w:p>
            <w:pPr>
              <w:spacing w:before="120" w:after="120"/>
              <w:jc w:val="center"/>
              <w:rPr>
                <w:smallCaps/>
                <w:sz w:val="24"/>
              </w:rPr>
            </w:pPr>
            <w:r>
              <w:rPr>
                <w:sz w:val="22"/>
              </w:rPr>
              <w:t>Subject</w:t>
            </w:r>
          </w:p>
        </w:tc>
        <w:tc>
          <w:tcPr>
            <w:tcW w:w="1250" w:type="dxa"/>
            <w:tcBorders>
              <w:bottom w:val="single" w:sz="4" w:space="0" w:color="auto"/>
            </w:tcBorders>
            <w:shd w:val="pct25" w:color="auto" w:fill="FFFFFF"/>
          </w:tcPr>
          <w:p>
            <w:pPr>
              <w:spacing w:before="120" w:after="120"/>
              <w:jc w:val="center"/>
              <w:rPr>
                <w:smallCaps/>
                <w:sz w:val="24"/>
              </w:rPr>
            </w:pPr>
            <w:r>
              <w:rPr>
                <w:sz w:val="22"/>
              </w:rPr>
              <w:t>RCV etc.</w:t>
            </w:r>
          </w:p>
        </w:tc>
        <w:tc>
          <w:tcPr>
            <w:tcW w:w="709" w:type="dxa"/>
            <w:tcBorders>
              <w:bottom w:val="single" w:sz="4" w:space="0" w:color="auto"/>
            </w:tcBorders>
            <w:shd w:val="pct25" w:color="auto" w:fill="FFFFFF"/>
          </w:tcPr>
          <w:p>
            <w:pPr>
              <w:spacing w:before="120" w:after="120"/>
              <w:jc w:val="center"/>
              <w:rPr>
                <w:smallCaps/>
                <w:sz w:val="24"/>
              </w:rPr>
            </w:pPr>
            <w:r>
              <w:rPr>
                <w:sz w:val="22"/>
              </w:rPr>
              <w:t>Vote</w:t>
            </w:r>
          </w:p>
        </w:tc>
        <w:tc>
          <w:tcPr>
            <w:tcBorders>
              <w:bottom w:val="single" w:sz="4" w:space="0" w:color="auto"/>
            </w:tcBorders>
            <w:shd w:val="pct25" w:color="auto" w:fill="FFFFFF"/>
          </w:tcPr>
          <w:p>
            <w:pPr>
              <w:spacing w:before="120" w:after="120"/>
              <w:jc w:val="center"/>
              <w:rPr>
                <w:smallCaps/>
                <w:sz w:val="24"/>
              </w:rPr>
            </w:pPr>
            <w:r>
              <w:rPr>
                <w:sz w:val="22"/>
              </w:rPr>
              <w:t>Remarks</w:t>
            </w:r>
          </w:p>
        </w:tc>
      </w:tr>
      <w:tr>
        <w:tblPrEx>
          <w:tblW w:w="0" w:type="auto"/>
          <w:tblInd w:w="108" w:type="dxa"/>
          <w:tblLayout w:type="fixed"/>
          <w:tblCellMar>
            <w:top w:w="0" w:type="dxa"/>
            <w:bottom w:w="0" w:type="dxa"/>
          </w:tblCellMar>
          <w:tblLook w:val="0000"/>
        </w:tblPrEx>
        <w:tc>
          <w:tcPr/>
          <w:p>
            <w:pPr>
              <w:spacing w:before="120" w:after="120"/>
              <w:jc w:val="center"/>
            </w:pPr>
            <w:r>
              <w:rPr>
                <w:b/>
                <w:i/>
                <w:sz w:val="22"/>
              </w:rPr>
              <w:t>single vote</w:t>
            </w:r>
          </w:p>
        </w:tc>
        <w:tc>
          <w:tcPr/>
          <w:p>
            <w:pPr>
              <w:spacing w:before="120" w:after="120"/>
            </w:pPr>
            <w:r>
              <w:rPr>
                <w:sz w:val="22"/>
              </w:rPr>
              <w:t>RCV</w:t>
            </w:r>
          </w:p>
        </w:tc>
        <w:tc>
          <w:tcPr/>
          <w:p>
            <w:pPr>
              <w:spacing w:before="120" w:after="120"/>
              <w:jc w:val="center"/>
            </w:pPr>
          </w:p>
        </w:tc>
        <w:tc>
          <w:tcPr/>
          <w:p>
            <w:pPr>
              <w:spacing w:before="120" w:after="120"/>
              <w:jc w:val="center"/>
            </w:pPr>
          </w:p>
        </w:tc>
      </w:tr>
    </w:tbl>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r>
        <w:rPr>
          <w:sz w:val="22"/>
        </w:rPr>
        <w:t>For procedural reasons the following recital will be added in the final act:</w:t>
      </w: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r>
        <w:rPr>
          <w:sz w:val="22"/>
        </w:rPr>
        <w:t>„In view of the urgency entailed by the withdrawal of the United Kingdom from the Union, it  was considered to be appropriate to provide for an exception to the eight-week period referred to in Article 4 of Protocol No 1 on the role of national Parliaments in the European Union, annexed to the TEU, to the Treaty on the Functioning of the European Union and to the Treaty establishing the European Atomic Energy Community.“</w:t>
      </w: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r>
        <w:rPr>
          <w:i/>
          <w:sz w:val="22"/>
          <w:u w:val="single"/>
        </w:rPr>
        <w:t>Requests for separate votes/split votes/roll-call votes</w:t>
      </w: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r>
        <w:rPr>
          <w:sz w:val="22"/>
        </w:rPr>
        <w:t>NONE</w:t>
      </w:r>
    </w:p>
    <w:p>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jc w:val="both"/>
        <w:rPr>
          <w:spacing w:val="-3"/>
        </w:rPr>
      </w:pPr>
    </w:p>
    <w:p>
      <w:pPr>
        <w:rPr>
          <w:color w:val="111111"/>
        </w:rPr>
      </w:pPr>
    </w:p>
    <w:p>
      <w:pPr>
        <w:rPr>
          <w:color w:val="111111"/>
        </w:rPr>
      </w:pPr>
    </w:p>
    <w:sectPr>
      <w:footerReference w:type="even" r:id="rId4"/>
      <w:footerReference w:type="default" r:id="rId5"/>
      <w:pgSz w:w="11907" w:h="16840" w:code="9"/>
      <w:pgMar w:top="567" w:right="567" w:bottom="567" w:left="567" w:header="720" w:footer="720" w:gutter="0"/>
      <w:cols w:space="720"/>
      <w:titlePg/>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framePr w:wrap="around" w:vAnchor="text" w:hAnchor="margin" w:xAlign="center" w:y="1"/>
      <w:rPr>
        <w:rStyle w:val="DefaultParagraphFont"/>
      </w:rPr>
    </w:pPr>
    <w:r>
      <w:rPr>
        <w:rStyle w:val="DefaultParagraphFont"/>
      </w:rPr>
      <w:fldChar w:fldCharType="begin"/>
    </w:r>
    <w:r>
      <w:rPr>
        <w:rStyle w:val="DefaultParagraphFont"/>
      </w:rPr>
      <w:instrText xml:space="preserve">PAGE  </w:instrText>
    </w:r>
    <w:r>
      <w:rPr>
        <w:rStyle w:val="DefaultParagraphFont"/>
      </w:rPr>
      <w:fldChar w:fldCharType="separate"/>
    </w:r>
    <w:r>
      <w:rPr>
        <w:rStyle w:val="DefaultParagraphFont"/>
      </w:rPr>
      <w:fldChar w:fldCharType="end"/>
    </w:r>
  </w:p>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framePr w:wrap="around" w:vAnchor="text" w:hAnchor="margin" w:xAlign="center" w:y="1"/>
      <w:rPr>
        <w:rStyle w:val="DefaultParagraphFont"/>
      </w:rPr>
    </w:pPr>
    <w:r>
      <w:rPr>
        <w:rStyle w:val="DefaultParagraphFont"/>
      </w:rPr>
      <w:fldChar w:fldCharType="begin"/>
    </w:r>
    <w:r>
      <w:rPr>
        <w:rStyle w:val="DefaultParagraphFont"/>
      </w:rPr>
      <w:instrText xml:space="preserve">PAGE  </w:instrText>
    </w:r>
    <w:r>
      <w:rPr>
        <w:rStyle w:val="DefaultParagraphFont"/>
      </w:rPr>
      <w:fldChar w:fldCharType="separate"/>
    </w:r>
    <w:r>
      <w:rPr>
        <w:rStyle w:val="DefaultParagraphFont"/>
        <w:noProof/>
      </w:rPr>
      <w:t>1</w:t>
    </w:r>
    <w:r>
      <w:rPr>
        <w:rStyle w:val="DefaultParagraphFont"/>
      </w:rPr>
      <w:fldChar w:fldCharType="end"/>
    </w:r>
  </w:p>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splitPgBreakAndParaMark/>
  </w:compat>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2"/>
      <w:szCs w:val="22"/>
      <w:lang w:val="en-GB" w:eastAsia="en-GB"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