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B7" w:rsidRPr="00297A38" w:rsidRDefault="00B572B7" w:rsidP="00B572B7">
      <w:pPr>
        <w:spacing w:line="237" w:lineRule="auto"/>
        <w:jc w:val="center"/>
        <w:rPr>
          <w:rFonts w:eastAsia="Calibri"/>
          <w:b/>
        </w:rPr>
      </w:pPr>
      <w:r>
        <w:rPr>
          <w:b/>
        </w:rPr>
        <w:t>Anlage I.B</w:t>
      </w:r>
    </w:p>
    <w:p w:rsidR="00B572B7" w:rsidRPr="00297A38" w:rsidRDefault="00B572B7" w:rsidP="00B572B7">
      <w:pPr>
        <w:spacing w:line="237" w:lineRule="auto"/>
        <w:jc w:val="center"/>
        <w:rPr>
          <w:rFonts w:eastAsia="Calibri"/>
          <w:b/>
        </w:rPr>
      </w:pPr>
      <w:r>
        <w:rPr>
          <w:b/>
        </w:rPr>
        <w:t>PREISLISTE</w:t>
      </w:r>
    </w:p>
    <w:p w:rsidR="00B572B7" w:rsidRPr="00297A38" w:rsidRDefault="00B572B7" w:rsidP="00B572B7">
      <w:pPr>
        <w:ind w:left="-709"/>
        <w:rPr>
          <w:snapToGrid w:val="0"/>
        </w:rPr>
      </w:pPr>
    </w:p>
    <w:p w:rsidR="00B572B7" w:rsidRPr="00297A38" w:rsidRDefault="00B572B7" w:rsidP="00B572B7">
      <w:pPr>
        <w:ind w:left="-709"/>
        <w:rPr>
          <w:snapToGrid w:val="0"/>
        </w:rPr>
      </w:pPr>
      <w:r>
        <w:rPr>
          <w:snapToGrid w:val="0"/>
        </w:rPr>
        <w:t>Falls der Einheitspreis nicht dem festen Gesamtpreis entspricht, wird für die Zuschlagserteilung allein der feste Gesamtpreis berücksichtigt.</w:t>
      </w:r>
    </w:p>
    <w:p w:rsidR="00B572B7" w:rsidRPr="00297A38" w:rsidRDefault="00B572B7" w:rsidP="00B572B7">
      <w:pPr>
        <w:ind w:left="-709"/>
      </w:pPr>
      <w:r>
        <w:t>Der Gesamtpreis eines Angebots wird durch die Gewichtung des für jedes Projekt angebotenen Preises auf der Grundlage der Menge der aus einem Projekt angebotenen Gutschriften berechnet, wobei die Ergebnisse addiert werden.</w:t>
      </w:r>
    </w:p>
    <w:p w:rsidR="00B572B7" w:rsidRPr="00297A38" w:rsidRDefault="00B572B7" w:rsidP="00B572B7">
      <w:pPr>
        <w:spacing w:before="120" w:after="120"/>
        <w:ind w:left="-709"/>
        <w:rPr>
          <w:snapToGrid w:val="0"/>
        </w:rPr>
      </w:pPr>
      <w:r>
        <w:rPr>
          <w:snapToGrid w:val="0"/>
        </w:rPr>
        <w:t>Name des Bieters:</w:t>
      </w:r>
    </w:p>
    <w:tbl>
      <w:tblPr>
        <w:tblW w:w="1102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1843"/>
        <w:gridCol w:w="1418"/>
        <w:gridCol w:w="1275"/>
        <w:gridCol w:w="1276"/>
        <w:gridCol w:w="1389"/>
      </w:tblGrid>
      <w:tr w:rsidR="00B572B7" w:rsidRPr="00297A38" w:rsidTr="00BE2E05">
        <w:trPr>
          <w:trHeight w:val="1668"/>
        </w:trPr>
        <w:tc>
          <w:tcPr>
            <w:tcW w:w="3825" w:type="dxa"/>
            <w:shd w:val="clear" w:color="auto" w:fill="auto"/>
          </w:tcPr>
          <w:p w:rsidR="00B572B7" w:rsidRPr="00297A38" w:rsidRDefault="00B572B7" w:rsidP="006301E8">
            <w:pPr>
              <w:tabs>
                <w:tab w:val="left" w:pos="2235"/>
              </w:tabs>
              <w:ind w:left="-964"/>
              <w:jc w:val="center"/>
            </w:pPr>
          </w:p>
          <w:p w:rsidR="00B572B7" w:rsidRPr="00297A38" w:rsidRDefault="00B572B7" w:rsidP="006301E8">
            <w:pPr>
              <w:tabs>
                <w:tab w:val="left" w:pos="2235"/>
              </w:tabs>
              <w:ind w:left="-964"/>
            </w:pPr>
          </w:p>
        </w:tc>
        <w:tc>
          <w:tcPr>
            <w:tcW w:w="1843" w:type="dxa"/>
            <w:shd w:val="clear" w:color="auto" w:fill="auto"/>
          </w:tcPr>
          <w:p w:rsidR="00B572B7" w:rsidRPr="00297A38" w:rsidRDefault="00B572B7" w:rsidP="006301E8">
            <w:pPr>
              <w:jc w:val="center"/>
              <w:rPr>
                <w:snapToGrid w:val="0"/>
              </w:rPr>
            </w:pPr>
          </w:p>
          <w:p w:rsidR="00B572B7" w:rsidRPr="00297A38" w:rsidRDefault="00B572B7" w:rsidP="006301E8">
            <w:pPr>
              <w:jc w:val="center"/>
              <w:rPr>
                <w:snapToGrid w:val="0"/>
              </w:rPr>
            </w:pPr>
          </w:p>
          <w:p w:rsidR="00B572B7" w:rsidRPr="00297A38" w:rsidRDefault="00B572B7" w:rsidP="006301E8">
            <w:pPr>
              <w:jc w:val="center"/>
              <w:rPr>
                <w:snapToGrid w:val="0"/>
              </w:rPr>
            </w:pPr>
          </w:p>
          <w:p w:rsidR="00B572B7" w:rsidRPr="00297A38" w:rsidRDefault="00B572B7" w:rsidP="006301E8">
            <w:pPr>
              <w:jc w:val="center"/>
              <w:rPr>
                <w:snapToGrid w:val="0"/>
              </w:rPr>
            </w:pPr>
            <w:r>
              <w:rPr>
                <w:snapToGrid w:val="0"/>
              </w:rPr>
              <w:t>PROJEKTBE</w:t>
            </w:r>
            <w:r w:rsidR="00BE2E05">
              <w:rPr>
                <w:snapToGrid w:val="0"/>
              </w:rPr>
              <w:t>-</w:t>
            </w:r>
            <w:r>
              <w:rPr>
                <w:snapToGrid w:val="0"/>
              </w:rPr>
              <w:t>SCHREIBUNG</w:t>
            </w:r>
            <w:r w:rsidRPr="00297A38">
              <w:rPr>
                <w:rStyle w:val="FootnoteReference"/>
                <w:snapToGrid w:val="0"/>
              </w:rPr>
              <w:footnoteReference w:id="1"/>
            </w:r>
          </w:p>
        </w:tc>
        <w:tc>
          <w:tcPr>
            <w:tcW w:w="1418" w:type="dxa"/>
            <w:shd w:val="clear" w:color="auto" w:fill="auto"/>
          </w:tcPr>
          <w:p w:rsidR="00B572B7" w:rsidRPr="00297A38" w:rsidRDefault="00B572B7" w:rsidP="006301E8">
            <w:pPr>
              <w:jc w:val="center"/>
              <w:rPr>
                <w:snapToGrid w:val="0"/>
              </w:rPr>
            </w:pPr>
          </w:p>
          <w:p w:rsidR="00B572B7" w:rsidRPr="00297A38" w:rsidRDefault="00B572B7" w:rsidP="006301E8">
            <w:pPr>
              <w:jc w:val="center"/>
              <w:rPr>
                <w:snapToGrid w:val="0"/>
              </w:rPr>
            </w:pPr>
            <w:r>
              <w:rPr>
                <w:snapToGrid w:val="0"/>
              </w:rPr>
              <w:t>Preis je Gutschrift in Euro ohne MwSt.</w:t>
            </w:r>
          </w:p>
          <w:p w:rsidR="00B572B7" w:rsidRPr="00297A38" w:rsidRDefault="00B572B7" w:rsidP="006301E8"/>
        </w:tc>
        <w:tc>
          <w:tcPr>
            <w:tcW w:w="1275" w:type="dxa"/>
            <w:shd w:val="clear" w:color="auto" w:fill="auto"/>
          </w:tcPr>
          <w:p w:rsidR="00B572B7" w:rsidRPr="00297A38" w:rsidRDefault="00B572B7" w:rsidP="006301E8">
            <w:pPr>
              <w:jc w:val="center"/>
              <w:rPr>
                <w:snapToGrid w:val="0"/>
              </w:rPr>
            </w:pPr>
          </w:p>
          <w:p w:rsidR="00B572B7" w:rsidRPr="00297A38" w:rsidRDefault="00B572B7" w:rsidP="006301E8">
            <w:pPr>
              <w:jc w:val="center"/>
              <w:rPr>
                <w:snapToGrid w:val="0"/>
              </w:rPr>
            </w:pPr>
          </w:p>
          <w:p w:rsidR="00B572B7" w:rsidRPr="00297A38" w:rsidRDefault="00B572B7" w:rsidP="006301E8">
            <w:pPr>
              <w:jc w:val="center"/>
            </w:pPr>
            <w:r>
              <w:rPr>
                <w:snapToGrid w:val="0"/>
              </w:rPr>
              <w:t>Anzahl der Gut</w:t>
            </w:r>
            <w:r w:rsidR="00BE2E05">
              <w:rPr>
                <w:snapToGrid w:val="0"/>
              </w:rPr>
              <w:t>-</w:t>
            </w:r>
            <w:r>
              <w:rPr>
                <w:snapToGrid w:val="0"/>
              </w:rPr>
              <w:t>schriften</w:t>
            </w:r>
            <w:r w:rsidRPr="00297A38">
              <w:rPr>
                <w:rStyle w:val="FootnoteReference"/>
                <w:snapToGrid w:val="0"/>
              </w:rPr>
              <w:footnoteReference w:id="2"/>
            </w:r>
          </w:p>
        </w:tc>
        <w:tc>
          <w:tcPr>
            <w:tcW w:w="1276" w:type="dxa"/>
            <w:shd w:val="clear" w:color="auto" w:fill="auto"/>
          </w:tcPr>
          <w:p w:rsidR="00B572B7" w:rsidRPr="00297A38" w:rsidRDefault="00B572B7" w:rsidP="006301E8">
            <w:pPr>
              <w:jc w:val="center"/>
            </w:pPr>
          </w:p>
          <w:p w:rsidR="00B572B7" w:rsidRPr="00297A38" w:rsidRDefault="00B572B7" w:rsidP="006301E8">
            <w:pPr>
              <w:jc w:val="center"/>
            </w:pPr>
          </w:p>
          <w:p w:rsidR="00B572B7" w:rsidRPr="00297A38" w:rsidRDefault="00B572B7" w:rsidP="006301E8">
            <w:pPr>
              <w:jc w:val="center"/>
            </w:pPr>
            <w:r>
              <w:t>% der Gesamt</w:t>
            </w:r>
            <w:r w:rsidR="00BE2E05">
              <w:t>-</w:t>
            </w:r>
            <w:r>
              <w:t>menge der Gut</w:t>
            </w:r>
            <w:r w:rsidR="00BE2E05">
              <w:t>-</w:t>
            </w:r>
            <w:r>
              <w:t>schriften</w:t>
            </w:r>
          </w:p>
          <w:p w:rsidR="00B572B7" w:rsidRPr="00297A38" w:rsidRDefault="00B572B7" w:rsidP="006301E8">
            <w:pPr>
              <w:jc w:val="center"/>
            </w:pPr>
            <w:r>
              <w:t xml:space="preserve">(188 000) </w:t>
            </w:r>
          </w:p>
          <w:p w:rsidR="00B572B7" w:rsidRPr="00297A38" w:rsidRDefault="00B572B7" w:rsidP="006301E8"/>
        </w:tc>
        <w:tc>
          <w:tcPr>
            <w:tcW w:w="1389" w:type="dxa"/>
            <w:shd w:val="clear" w:color="auto" w:fill="auto"/>
          </w:tcPr>
          <w:p w:rsidR="00B572B7" w:rsidRPr="00297A38" w:rsidRDefault="00B572B7" w:rsidP="006301E8">
            <w:pPr>
              <w:rPr>
                <w:snapToGrid w:val="0"/>
              </w:rPr>
            </w:pPr>
          </w:p>
          <w:p w:rsidR="00B572B7" w:rsidRPr="00297A38" w:rsidRDefault="00B572B7" w:rsidP="006301E8">
            <w:pPr>
              <w:jc w:val="center"/>
            </w:pPr>
            <w:r>
              <w:rPr>
                <w:snapToGrid w:val="0"/>
              </w:rPr>
              <w:t>FESTER GESAMT</w:t>
            </w:r>
            <w:r w:rsidR="00BE2E05">
              <w:rPr>
                <w:snapToGrid w:val="0"/>
              </w:rPr>
              <w:t>-</w:t>
            </w:r>
            <w:r>
              <w:rPr>
                <w:snapToGrid w:val="0"/>
              </w:rPr>
              <w:t>PREIS in Euro</w:t>
            </w:r>
            <w:r w:rsidRPr="00297A38">
              <w:rPr>
                <w:rStyle w:val="FootnoteReference"/>
                <w:snapToGrid w:val="0"/>
              </w:rPr>
              <w:footnoteReference w:id="3"/>
            </w:r>
          </w:p>
        </w:tc>
      </w:tr>
      <w:tr w:rsidR="00B572B7" w:rsidRPr="00297A38" w:rsidTr="00BE2E05">
        <w:trPr>
          <w:trHeight w:val="2435"/>
        </w:trPr>
        <w:tc>
          <w:tcPr>
            <w:tcW w:w="3825" w:type="dxa"/>
            <w:vMerge w:val="restart"/>
            <w:shd w:val="clear" w:color="auto" w:fill="auto"/>
          </w:tcPr>
          <w:p w:rsidR="00B572B7" w:rsidRPr="00297A38" w:rsidRDefault="00B572B7" w:rsidP="006301E8">
            <w:pPr>
              <w:rPr>
                <w:snapToGrid w:val="0"/>
              </w:rPr>
            </w:pPr>
            <w:r>
              <w:rPr>
                <w:snapToGrid w:val="0"/>
              </w:rPr>
              <w:t>Kauf von Kompensationsgutschriften aus</w:t>
            </w:r>
          </w:p>
          <w:p w:rsidR="00B572B7" w:rsidRPr="00297A38" w:rsidRDefault="00B572B7" w:rsidP="00B572B7">
            <w:pPr>
              <w:numPr>
                <w:ilvl w:val="0"/>
                <w:numId w:val="2"/>
              </w:numPr>
              <w:ind w:left="173" w:hanging="173"/>
              <w:rPr>
                <w:snapToGrid w:val="0"/>
              </w:rPr>
            </w:pPr>
            <w:r>
              <w:rPr>
                <w:snapToGrid w:val="0"/>
              </w:rPr>
              <w:t>drei einzelnen Projekten von mindestens zwei Typen</w:t>
            </w:r>
          </w:p>
          <w:p w:rsidR="00B572B7" w:rsidRPr="00297A38" w:rsidRDefault="00B572B7" w:rsidP="00B572B7">
            <w:pPr>
              <w:numPr>
                <w:ilvl w:val="0"/>
                <w:numId w:val="1"/>
              </w:numPr>
              <w:ind w:left="315" w:hanging="142"/>
              <w:rPr>
                <w:color w:val="000000"/>
              </w:rPr>
            </w:pPr>
            <w:r>
              <w:rPr>
                <w:snapToGrid w:val="0"/>
              </w:rPr>
              <w:t>in einem oder mehreren Ländern</w:t>
            </w:r>
            <w:r>
              <w:t xml:space="preserve"> der Gruppe der Staaten in Afrika, im Karibischen Raum und im Pazifischen Ozean (AKP-Staaten) </w:t>
            </w:r>
            <w:r>
              <w:rPr>
                <w:b/>
              </w:rPr>
              <w:t>oder, wenn solche Projekte nicht verfügbar sind,</w:t>
            </w:r>
          </w:p>
          <w:p w:rsidR="00B572B7" w:rsidRPr="00297A38" w:rsidRDefault="00B572B7" w:rsidP="00B572B7">
            <w:pPr>
              <w:numPr>
                <w:ilvl w:val="0"/>
                <w:numId w:val="1"/>
              </w:numPr>
              <w:ind w:left="315" w:hanging="142"/>
              <w:rPr>
                <w:color w:val="000000"/>
              </w:rPr>
            </w:pPr>
            <w:r>
              <w:rPr>
                <w:color w:val="000000"/>
              </w:rPr>
              <w:t>entweder in Ländern, die in die Europäische Nachbarschaftspolitik eingebunden sind und die über etablierte Projekte nach nationalen Aktionsplänen verfügen,</w:t>
            </w:r>
          </w:p>
          <w:p w:rsidR="00B572B7" w:rsidRPr="00297A38" w:rsidRDefault="00B572B7" w:rsidP="00B572B7">
            <w:pPr>
              <w:numPr>
                <w:ilvl w:val="0"/>
                <w:numId w:val="1"/>
              </w:numPr>
              <w:ind w:left="315" w:hanging="142"/>
              <w:rPr>
                <w:color w:val="000000"/>
              </w:rPr>
            </w:pPr>
            <w:r>
              <w:t>oder in Ländern, die in die Europa-Mittelmeer-Partnerschaft (EUROMED) bzw. die Union für den Mittelmeerraum (</w:t>
            </w:r>
            <w:proofErr w:type="spellStart"/>
            <w:r>
              <w:t>UfM</w:t>
            </w:r>
            <w:proofErr w:type="spellEnd"/>
            <w:r>
              <w:t>) eingebunden sind</w:t>
            </w:r>
            <w:r>
              <w:rPr>
                <w:snapToGrid w:val="0"/>
              </w:rPr>
              <w:t>,</w:t>
            </w:r>
          </w:p>
          <w:p w:rsidR="00B572B7" w:rsidRPr="00297A38" w:rsidRDefault="00B572B7" w:rsidP="00B572B7">
            <w:pPr>
              <w:numPr>
                <w:ilvl w:val="0"/>
                <w:numId w:val="1"/>
              </w:numPr>
              <w:ind w:left="315" w:hanging="142"/>
              <w:rPr>
                <w:color w:val="000000"/>
              </w:rPr>
            </w:pPr>
            <w:r>
              <w:rPr>
                <w:color w:val="000000"/>
              </w:rPr>
              <w:t>oder in einem oder mehreren Kandidatenländern für den EU-Beitritt</w:t>
            </w:r>
          </w:p>
          <w:p w:rsidR="00B572B7" w:rsidRPr="00297A38" w:rsidRDefault="00B572B7" w:rsidP="00B572B7">
            <w:pPr>
              <w:numPr>
                <w:ilvl w:val="0"/>
                <w:numId w:val="1"/>
              </w:numPr>
              <w:ind w:left="315" w:hanging="142"/>
              <w:rPr>
                <w:color w:val="000000"/>
              </w:rPr>
            </w:pPr>
            <w:r>
              <w:rPr>
                <w:snapToGrid w:val="0"/>
              </w:rPr>
              <w:t>oder in einem oder mehreren EU-Mitgliedstaaten.</w:t>
            </w:r>
          </w:p>
          <w:p w:rsidR="00B572B7" w:rsidRPr="00297A38" w:rsidRDefault="00B572B7" w:rsidP="006301E8">
            <w:pPr>
              <w:ind w:left="709"/>
              <w:rPr>
                <w:color w:val="000000"/>
              </w:rPr>
            </w:pPr>
          </w:p>
          <w:p w:rsidR="00B572B7" w:rsidRPr="00297A38" w:rsidRDefault="00B572B7" w:rsidP="006301E8">
            <w:pPr>
              <w:rPr>
                <w:snapToGrid w:val="0"/>
              </w:rPr>
            </w:pPr>
            <w:r>
              <w:rPr>
                <w:snapToGrid w:val="0"/>
              </w:rPr>
              <w:t>2. Als Goldstandard sollte der Qualitätsstandard für Kompensationsprojekte in Entwicklungsländern gelten.</w:t>
            </w:r>
          </w:p>
          <w:p w:rsidR="00B572B7" w:rsidRPr="00297A38" w:rsidRDefault="00B572B7" w:rsidP="006301E8">
            <w:pPr>
              <w:rPr>
                <w:snapToGrid w:val="0"/>
              </w:rPr>
            </w:pPr>
          </w:p>
          <w:p w:rsidR="00B572B7" w:rsidRPr="00297A38" w:rsidRDefault="00B572B7" w:rsidP="006301E8">
            <w:pPr>
              <w:rPr>
                <w:snapToGrid w:val="0"/>
              </w:rPr>
            </w:pPr>
            <w:r>
              <w:rPr>
                <w:snapToGrid w:val="0"/>
              </w:rPr>
              <w:t>3. Die geforderten Gutschriften hinsichtlich dieser Länder müssen zwischen dem 1. Januar 2014 und dem 31. Dezember 2019 generiert worden sein.</w:t>
            </w:r>
          </w:p>
          <w:p w:rsidR="00B572B7" w:rsidRPr="00297A38" w:rsidRDefault="00B572B7" w:rsidP="006301E8"/>
        </w:tc>
        <w:tc>
          <w:tcPr>
            <w:tcW w:w="1843" w:type="dxa"/>
            <w:shd w:val="clear" w:color="auto" w:fill="auto"/>
          </w:tcPr>
          <w:p w:rsidR="00B572B7" w:rsidRPr="00297A38" w:rsidRDefault="00B572B7" w:rsidP="006301E8">
            <w:r>
              <w:t>Projekt Nr. 1</w:t>
            </w:r>
          </w:p>
        </w:tc>
        <w:tc>
          <w:tcPr>
            <w:tcW w:w="1418" w:type="dxa"/>
            <w:shd w:val="clear" w:color="auto" w:fill="auto"/>
          </w:tcPr>
          <w:p w:rsidR="00B572B7" w:rsidRPr="00297A38" w:rsidRDefault="00B572B7" w:rsidP="006301E8"/>
        </w:tc>
        <w:tc>
          <w:tcPr>
            <w:tcW w:w="1275" w:type="dxa"/>
            <w:shd w:val="clear" w:color="auto" w:fill="auto"/>
          </w:tcPr>
          <w:p w:rsidR="00B572B7" w:rsidRPr="00297A38" w:rsidRDefault="00B572B7" w:rsidP="006301E8"/>
        </w:tc>
        <w:tc>
          <w:tcPr>
            <w:tcW w:w="1276" w:type="dxa"/>
            <w:shd w:val="clear" w:color="auto" w:fill="auto"/>
          </w:tcPr>
          <w:p w:rsidR="00B572B7" w:rsidRPr="00297A38" w:rsidRDefault="00B572B7" w:rsidP="006301E8"/>
        </w:tc>
        <w:tc>
          <w:tcPr>
            <w:tcW w:w="1389" w:type="dxa"/>
            <w:shd w:val="clear" w:color="auto" w:fill="auto"/>
          </w:tcPr>
          <w:p w:rsidR="00B572B7" w:rsidRPr="00297A38" w:rsidRDefault="00B572B7" w:rsidP="006301E8"/>
        </w:tc>
      </w:tr>
      <w:tr w:rsidR="00B572B7" w:rsidRPr="00297A38" w:rsidTr="00BE2E05">
        <w:trPr>
          <w:trHeight w:val="2435"/>
        </w:trPr>
        <w:tc>
          <w:tcPr>
            <w:tcW w:w="3825" w:type="dxa"/>
            <w:vMerge/>
            <w:shd w:val="clear" w:color="auto" w:fill="auto"/>
          </w:tcPr>
          <w:p w:rsidR="00B572B7" w:rsidRPr="00297A38" w:rsidRDefault="00B572B7" w:rsidP="006301E8">
            <w:pPr>
              <w:rPr>
                <w:snapToGrid w:val="0"/>
              </w:rPr>
            </w:pPr>
          </w:p>
        </w:tc>
        <w:tc>
          <w:tcPr>
            <w:tcW w:w="1843" w:type="dxa"/>
            <w:shd w:val="clear" w:color="auto" w:fill="auto"/>
          </w:tcPr>
          <w:p w:rsidR="00B572B7" w:rsidRPr="00297A38" w:rsidRDefault="00B572B7" w:rsidP="006301E8">
            <w:r>
              <w:t>Projekt Nr. 2</w:t>
            </w:r>
          </w:p>
        </w:tc>
        <w:tc>
          <w:tcPr>
            <w:tcW w:w="1418" w:type="dxa"/>
            <w:shd w:val="clear" w:color="auto" w:fill="auto"/>
          </w:tcPr>
          <w:p w:rsidR="00B572B7" w:rsidRPr="00297A38" w:rsidRDefault="00B572B7" w:rsidP="006301E8"/>
        </w:tc>
        <w:tc>
          <w:tcPr>
            <w:tcW w:w="1275" w:type="dxa"/>
            <w:shd w:val="clear" w:color="auto" w:fill="auto"/>
          </w:tcPr>
          <w:p w:rsidR="00B572B7" w:rsidRPr="00297A38" w:rsidRDefault="00B572B7" w:rsidP="006301E8"/>
        </w:tc>
        <w:tc>
          <w:tcPr>
            <w:tcW w:w="1276" w:type="dxa"/>
            <w:shd w:val="clear" w:color="auto" w:fill="auto"/>
          </w:tcPr>
          <w:p w:rsidR="00B572B7" w:rsidRPr="00297A38" w:rsidRDefault="00B572B7" w:rsidP="006301E8"/>
        </w:tc>
        <w:tc>
          <w:tcPr>
            <w:tcW w:w="1389" w:type="dxa"/>
            <w:shd w:val="clear" w:color="auto" w:fill="auto"/>
          </w:tcPr>
          <w:p w:rsidR="00B572B7" w:rsidRPr="00297A38" w:rsidRDefault="00B572B7" w:rsidP="006301E8"/>
        </w:tc>
      </w:tr>
      <w:tr w:rsidR="00B572B7" w:rsidRPr="00297A38" w:rsidTr="00BE2E05">
        <w:trPr>
          <w:trHeight w:val="2435"/>
        </w:trPr>
        <w:tc>
          <w:tcPr>
            <w:tcW w:w="3825" w:type="dxa"/>
            <w:vMerge/>
            <w:shd w:val="clear" w:color="auto" w:fill="auto"/>
          </w:tcPr>
          <w:p w:rsidR="00B572B7" w:rsidRPr="00297A38" w:rsidRDefault="00B572B7" w:rsidP="006301E8">
            <w:pPr>
              <w:rPr>
                <w:snapToGrid w:val="0"/>
              </w:rPr>
            </w:pPr>
          </w:p>
        </w:tc>
        <w:tc>
          <w:tcPr>
            <w:tcW w:w="1843" w:type="dxa"/>
            <w:shd w:val="clear" w:color="auto" w:fill="auto"/>
          </w:tcPr>
          <w:p w:rsidR="00B572B7" w:rsidRPr="00297A38" w:rsidRDefault="00B572B7" w:rsidP="006301E8">
            <w:r>
              <w:t>Projekt Nr. 3</w:t>
            </w:r>
          </w:p>
        </w:tc>
        <w:tc>
          <w:tcPr>
            <w:tcW w:w="1418" w:type="dxa"/>
            <w:shd w:val="clear" w:color="auto" w:fill="auto"/>
          </w:tcPr>
          <w:p w:rsidR="00B572B7" w:rsidRPr="00297A38" w:rsidRDefault="00B572B7" w:rsidP="006301E8"/>
        </w:tc>
        <w:tc>
          <w:tcPr>
            <w:tcW w:w="1275" w:type="dxa"/>
            <w:shd w:val="clear" w:color="auto" w:fill="auto"/>
          </w:tcPr>
          <w:p w:rsidR="00B572B7" w:rsidRPr="00297A38" w:rsidRDefault="00B572B7" w:rsidP="006301E8"/>
        </w:tc>
        <w:tc>
          <w:tcPr>
            <w:tcW w:w="1276" w:type="dxa"/>
            <w:shd w:val="clear" w:color="auto" w:fill="auto"/>
          </w:tcPr>
          <w:p w:rsidR="00B572B7" w:rsidRPr="00297A38" w:rsidRDefault="00B572B7" w:rsidP="006301E8"/>
        </w:tc>
        <w:tc>
          <w:tcPr>
            <w:tcW w:w="1389" w:type="dxa"/>
            <w:shd w:val="clear" w:color="auto" w:fill="auto"/>
          </w:tcPr>
          <w:p w:rsidR="00B572B7" w:rsidRPr="00297A38" w:rsidRDefault="00B572B7" w:rsidP="006301E8"/>
        </w:tc>
      </w:tr>
      <w:tr w:rsidR="00B572B7" w:rsidRPr="00297A38" w:rsidTr="00BE2E05">
        <w:tc>
          <w:tcPr>
            <w:tcW w:w="3825" w:type="dxa"/>
            <w:shd w:val="clear" w:color="auto" w:fill="auto"/>
          </w:tcPr>
          <w:p w:rsidR="00B572B7" w:rsidRPr="00297A38" w:rsidRDefault="00B572B7" w:rsidP="006301E8">
            <w:pPr>
              <w:jc w:val="center"/>
              <w:rPr>
                <w:b/>
              </w:rPr>
            </w:pPr>
            <w:r>
              <w:rPr>
                <w:b/>
              </w:rPr>
              <w:t>INSGESAMT</w:t>
            </w:r>
          </w:p>
        </w:tc>
        <w:tc>
          <w:tcPr>
            <w:tcW w:w="1843" w:type="dxa"/>
            <w:shd w:val="clear" w:color="auto" w:fill="auto"/>
          </w:tcPr>
          <w:p w:rsidR="00B572B7" w:rsidRPr="00297A38" w:rsidRDefault="00B572B7" w:rsidP="006301E8">
            <w:pPr>
              <w:rPr>
                <w:color w:val="D9D9D9"/>
                <w:highlight w:val="yellow"/>
              </w:rPr>
            </w:pPr>
          </w:p>
          <w:p w:rsidR="00B572B7" w:rsidRPr="00297A38" w:rsidRDefault="00B572B7" w:rsidP="006301E8">
            <w:pPr>
              <w:rPr>
                <w:color w:val="D9D9D9"/>
                <w:highlight w:val="yellow"/>
              </w:rPr>
            </w:pPr>
          </w:p>
        </w:tc>
        <w:tc>
          <w:tcPr>
            <w:tcW w:w="1418" w:type="dxa"/>
            <w:shd w:val="clear" w:color="auto" w:fill="auto"/>
          </w:tcPr>
          <w:p w:rsidR="00B572B7" w:rsidRPr="00297A38" w:rsidRDefault="00B572B7" w:rsidP="006301E8"/>
        </w:tc>
        <w:tc>
          <w:tcPr>
            <w:tcW w:w="1275" w:type="dxa"/>
            <w:shd w:val="clear" w:color="auto" w:fill="auto"/>
          </w:tcPr>
          <w:p w:rsidR="00B572B7" w:rsidRPr="00297A38" w:rsidRDefault="00B572B7" w:rsidP="006301E8"/>
        </w:tc>
        <w:tc>
          <w:tcPr>
            <w:tcW w:w="1276" w:type="dxa"/>
            <w:shd w:val="clear" w:color="auto" w:fill="auto"/>
          </w:tcPr>
          <w:p w:rsidR="00B572B7" w:rsidRPr="00297A38" w:rsidRDefault="00B572B7" w:rsidP="006301E8">
            <w:pPr>
              <w:jc w:val="center"/>
            </w:pPr>
            <w:r>
              <w:t>100 %</w:t>
            </w:r>
          </w:p>
        </w:tc>
        <w:tc>
          <w:tcPr>
            <w:tcW w:w="1389" w:type="dxa"/>
            <w:shd w:val="clear" w:color="auto" w:fill="auto"/>
          </w:tcPr>
          <w:p w:rsidR="00B572B7" w:rsidRPr="00297A38" w:rsidRDefault="00B572B7" w:rsidP="006301E8"/>
        </w:tc>
      </w:tr>
    </w:tbl>
    <w:p w:rsidR="00B572B7" w:rsidRPr="00297A38" w:rsidRDefault="00B572B7" w:rsidP="00B572B7">
      <w:pPr>
        <w:spacing w:line="237" w:lineRule="auto"/>
        <w:rPr>
          <w:snapToGrid w:val="0"/>
        </w:rPr>
      </w:pPr>
    </w:p>
    <w:p w:rsidR="00B572B7" w:rsidRPr="00297A38" w:rsidRDefault="00B572B7" w:rsidP="00B572B7">
      <w:pPr>
        <w:spacing w:line="237" w:lineRule="auto"/>
        <w:rPr>
          <w:snapToGrid w:val="0"/>
        </w:rPr>
      </w:pPr>
      <w:r>
        <w:rPr>
          <w:snapToGrid w:val="0"/>
        </w:rPr>
        <w:t>Datum</w:t>
      </w:r>
      <w:r w:rsidR="00BE2E05">
        <w:rPr>
          <w:snapToGrid w:val="0"/>
        </w:rPr>
        <w:t xml:space="preserve"> ..............................................................................................</w:t>
      </w:r>
    </w:p>
    <w:p w:rsidR="00B572B7" w:rsidRPr="00297A38" w:rsidRDefault="00B572B7" w:rsidP="00B572B7">
      <w:pPr>
        <w:rPr>
          <w:snapToGrid w:val="0"/>
        </w:rPr>
      </w:pPr>
      <w:r>
        <w:rPr>
          <w:snapToGrid w:val="0"/>
        </w:rPr>
        <w:t>Unterschrift des gesetzlichen Vertreters des Bieters (und Stempel des Bieters):</w:t>
      </w:r>
    </w:p>
    <w:p w:rsidR="00B572B7" w:rsidRPr="00297A38" w:rsidRDefault="00BE2E05" w:rsidP="00B572B7">
      <w:pPr>
        <w:spacing w:line="237" w:lineRule="auto"/>
        <w:rPr>
          <w:rFonts w:ascii="Arial" w:hAnsi="Arial" w:cs="Arial"/>
          <w:sz w:val="20"/>
          <w:szCs w:val="20"/>
        </w:rPr>
      </w:pPr>
      <w:r>
        <w:rPr>
          <w:snapToGrid w:val="0"/>
        </w:rPr>
        <w:t>.....................................................................................................................................</w:t>
      </w:r>
    </w:p>
    <w:p w:rsidR="00B572B7" w:rsidRPr="00297A38" w:rsidRDefault="00B572B7" w:rsidP="00B572B7">
      <w:pPr>
        <w:spacing w:after="240"/>
      </w:pPr>
    </w:p>
    <w:p w:rsidR="008765BE" w:rsidRPr="00297A38" w:rsidRDefault="008765BE">
      <w:bookmarkStart w:id="0" w:name="_GoBack"/>
      <w:bookmarkEnd w:id="0"/>
    </w:p>
    <w:sectPr w:rsidR="008765BE" w:rsidRPr="00297A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B7" w:rsidRPr="00297A38" w:rsidRDefault="00B572B7" w:rsidP="00B572B7">
      <w:r w:rsidRPr="00297A38">
        <w:separator/>
      </w:r>
    </w:p>
  </w:endnote>
  <w:endnote w:type="continuationSeparator" w:id="0">
    <w:p w:rsidR="00B572B7" w:rsidRPr="00297A38" w:rsidRDefault="00B572B7" w:rsidP="00B572B7">
      <w:r w:rsidRPr="00297A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05" w:rsidRDefault="00BE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05" w:rsidRDefault="00BE2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05" w:rsidRDefault="00BE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B7" w:rsidRPr="00297A38" w:rsidRDefault="00B572B7" w:rsidP="00B572B7">
      <w:r w:rsidRPr="00297A38">
        <w:separator/>
      </w:r>
    </w:p>
  </w:footnote>
  <w:footnote w:type="continuationSeparator" w:id="0">
    <w:p w:rsidR="00B572B7" w:rsidRPr="00297A38" w:rsidRDefault="00B572B7" w:rsidP="00B572B7">
      <w:r w:rsidRPr="00297A38">
        <w:continuationSeparator/>
      </w:r>
    </w:p>
  </w:footnote>
  <w:footnote w:id="1">
    <w:p w:rsidR="00B572B7" w:rsidRPr="00297A38" w:rsidRDefault="00B572B7" w:rsidP="00B572B7">
      <w:pPr>
        <w:pStyle w:val="FootnoteText"/>
        <w:spacing w:after="0"/>
      </w:pPr>
      <w:r>
        <w:rPr>
          <w:rStyle w:val="FootnoteReference"/>
        </w:rPr>
        <w:footnoteRef/>
      </w:r>
      <w:r>
        <w:t xml:space="preserve"> Drei Projekte von mindestens zwei Typen.</w:t>
      </w:r>
    </w:p>
  </w:footnote>
  <w:footnote w:id="2">
    <w:p w:rsidR="00B572B7" w:rsidRPr="00297A38" w:rsidRDefault="00B572B7" w:rsidP="00B572B7">
      <w:pPr>
        <w:pStyle w:val="FootnoteText"/>
        <w:spacing w:after="0"/>
      </w:pPr>
      <w:r>
        <w:rPr>
          <w:rStyle w:val="FootnoteReference"/>
        </w:rPr>
        <w:footnoteRef/>
      </w:r>
      <w:r>
        <w:t xml:space="preserve"> Aus einem Projekt dürfen höchstens 70 % der Gesamtmenge der angebotenen Gutschriften stammen.</w:t>
      </w:r>
    </w:p>
  </w:footnote>
  <w:footnote w:id="3">
    <w:p w:rsidR="00B572B7" w:rsidRPr="00297A38" w:rsidRDefault="00B572B7" w:rsidP="00B572B7">
      <w:pPr>
        <w:pStyle w:val="FootnoteText"/>
        <w:spacing w:after="0"/>
      </w:pPr>
      <w:r>
        <w:rPr>
          <w:rStyle w:val="FootnoteReference"/>
        </w:rPr>
        <w:footnoteRef/>
      </w:r>
      <w:r>
        <w:t xml:space="preserve"> Ohne MwSt. (Komplettpreis, einschließlich Zertifikate).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05" w:rsidRDefault="00BE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05" w:rsidRDefault="00BE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05" w:rsidRDefault="00BE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8672C"/>
    <w:multiLevelType w:val="hybridMultilevel"/>
    <w:tmpl w:val="965AA0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6C24CF2"/>
    <w:multiLevelType w:val="multilevel"/>
    <w:tmpl w:val="D77074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PA_NonLeg"/>
    <w:docVar w:name="strSubDir" w:val="1203"/>
    <w:docVar w:name="TXTLANGUE" w:val="DE"/>
    <w:docVar w:name="TXTLANGUEMIN" w:val="de"/>
    <w:docVar w:name="TXTROUTE" w:val="MP\1203523DE.docx"/>
  </w:docVars>
  <w:rsids>
    <w:rsidRoot w:val="00B572B7"/>
    <w:rsid w:val="00297A38"/>
    <w:rsid w:val="00510D83"/>
    <w:rsid w:val="005762E3"/>
    <w:rsid w:val="008765BE"/>
    <w:rsid w:val="00B572B7"/>
    <w:rsid w:val="00BE2E05"/>
    <w:rsid w:val="00DC2410"/>
    <w:rsid w:val="00F0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73733"/>
  <w15:chartTrackingRefBased/>
  <w15:docId w15:val="{31EE9BBA-56EE-4B7F-8FAA-11D79951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B572B7"/>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B572B7"/>
    <w:rPr>
      <w:rFonts w:ascii="Times New Roman" w:eastAsia="Times New Roman" w:hAnsi="Times New Roman"/>
      <w:sz w:val="20"/>
      <w:szCs w:val="20"/>
      <w:lang w:eastAsia="en-GB" w:bidi="en-GB"/>
    </w:rPr>
  </w:style>
  <w:style w:type="character" w:styleId="FootnoteReference">
    <w:name w:val="footnote reference"/>
    <w:aliases w:val="Header Char1"/>
    <w:rsid w:val="00B572B7"/>
    <w:rPr>
      <w:rFonts w:cs="Times New Roman"/>
      <w:vertAlign w:val="superscript"/>
    </w:rPr>
  </w:style>
  <w:style w:type="paragraph" w:styleId="Header">
    <w:name w:val="header"/>
    <w:basedOn w:val="Normal"/>
    <w:link w:val="HeaderChar"/>
    <w:uiPriority w:val="99"/>
    <w:unhideWhenUsed/>
    <w:rsid w:val="00B572B7"/>
    <w:pPr>
      <w:tabs>
        <w:tab w:val="center" w:pos="4513"/>
        <w:tab w:val="right" w:pos="9026"/>
      </w:tabs>
    </w:pPr>
  </w:style>
  <w:style w:type="character" w:customStyle="1" w:styleId="HeaderChar">
    <w:name w:val="Header Char"/>
    <w:basedOn w:val="DefaultParagraphFont"/>
    <w:link w:val="Header"/>
    <w:uiPriority w:val="99"/>
    <w:rsid w:val="00B572B7"/>
    <w:rPr>
      <w:rFonts w:ascii="Times New Roman" w:hAnsi="Times New Roman"/>
      <w:sz w:val="24"/>
      <w:szCs w:val="24"/>
    </w:rPr>
  </w:style>
  <w:style w:type="paragraph" w:styleId="Footer">
    <w:name w:val="footer"/>
    <w:basedOn w:val="Normal"/>
    <w:link w:val="FooterChar"/>
    <w:uiPriority w:val="99"/>
    <w:unhideWhenUsed/>
    <w:rsid w:val="00B572B7"/>
    <w:pPr>
      <w:tabs>
        <w:tab w:val="center" w:pos="4513"/>
        <w:tab w:val="right" w:pos="9026"/>
      </w:tabs>
    </w:pPr>
  </w:style>
  <w:style w:type="character" w:customStyle="1" w:styleId="FooterChar">
    <w:name w:val="Footer Char"/>
    <w:basedOn w:val="DefaultParagraphFont"/>
    <w:link w:val="Footer"/>
    <w:uiPriority w:val="99"/>
    <w:rsid w:val="00B572B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BERG-SENAUTKA Karin</cp:lastModifiedBy>
  <cp:revision>2</cp:revision>
  <dcterms:created xsi:type="dcterms:W3CDTF">2020-05-07T13:09:00Z</dcterms:created>
  <dcterms:modified xsi:type="dcterms:W3CDTF">2020-05-07T13:09:00Z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MP</vt:lpwstr>
  </property>
  <property fmtid="{D5CDD505-2E9C-101B-9397-08002B2CF9AE}" pid="4" name="LastEdited with">
    <vt:lpwstr>9.8.0 Build [20191010]</vt:lpwstr>
  </property>
  <property fmtid="{D5CDD505-2E9C-101B-9397-08002B2CF9AE}" pid="5" name="&lt;FdR&gt;">
    <vt:lpwstr>1203523</vt:lpwstr>
  </property>
  <property fmtid="{D5CDD505-2E9C-101B-9397-08002B2CF9AE}" pid="6" name="FooterPath">
    <vt:lpwstr>MP\1203523DE.docx</vt:lpwstr>
  </property>
  <property fmtid="{D5CDD505-2E9C-101B-9397-08002B2CF9AE}" pid="7" name="SDLStudio">
    <vt:lpwstr/>
  </property>
  <property fmtid="{D5CDD505-2E9C-101B-9397-08002B2CF9AE}" pid="8" name="&lt;Extension&gt;">
    <vt:lpwstr>DE</vt:lpwstr>
  </property>
</Properties>
</file>