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ANDRIEU</w:t>
      </w:r>
      <w:r>
        <w:tab/>
        <w:tab/>
      </w:r>
      <w:r>
        <w:rPr>
          <w:color w:val="111111"/>
          <w:sz w:val="24"/>
        </w:rPr>
        <w:t>(A8-0198/2019)</w:t>
      </w:r>
      <w:r>
        <w:tab/>
      </w:r>
      <w:r>
        <w:rPr>
          <w:b/>
          <w:color w:val="111111"/>
          <w:sz w:val="24"/>
        </w:rPr>
        <w:t>[***I]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CMO and other Regulations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Agriculture and Rural Development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Provisional agreement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Provisional agreement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282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= first reading closed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Joint statements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283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Commission statements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284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 xml:space="preserve">All votes are taken by roll-call. 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</w:t>
      </w:r>
      <w:r>
        <w:rPr>
          <w:i/>
          <w:sz w:val="22"/>
          <w:u w:val="single"/>
        </w:rPr>
        <w:t xml:space="preserve"> for separate votes/split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NONE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