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TINAGLI</w:t>
      </w:r>
      <w:r>
        <w:tab/>
        <w:tab/>
      </w:r>
      <w:r>
        <w:rPr>
          <w:color w:val="111111"/>
          <w:sz w:val="24"/>
        </w:rPr>
        <w:t>(A9-0010/2020)</w:t>
      </w:r>
      <w:r>
        <w:tab/>
      </w:r>
      <w:r>
        <w:rPr>
          <w:b/>
          <w:color w:val="111111"/>
          <w:sz w:val="24"/>
        </w:rPr>
        <w:t>[appoint.]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Appointment of the Vice-Chair of the Single Resolution Board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 xml:space="preserve">vote: appointment of </w:t>
            </w:r>
            <w:r>
              <w:rPr>
                <w:b/>
                <w:i/>
                <w:sz w:val="22"/>
              </w:rPr>
              <w:t>Jan de Carpentier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Secret ballot (Rule 191(1))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support the appointment should vote “in favour”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opposing the appointment should vote “against”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