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pPr>
        <w:ind w:right="-716"/>
        <w:rPr>
          <w:b/>
          <w:i/>
        </w:rPr>
      </w:pPr>
      <w:r>
        <w:rPr>
          <w:b/>
          <w:caps/>
          <w:sz w:val="16"/>
        </w:rPr>
        <w:t>TABLING SERVICE</w:t>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b/>
          <w:i/>
        </w:rPr>
        <w:t>INDICATIVE VOTING LIST</w:t>
      </w:r>
    </w:p>
    <w:p/>
    <w:p>
      <w:pPr>
        <w:jc w:val="center"/>
      </w:pPr>
      <w:r>
        <w:rPr>
          <w:b/>
          <w:i/>
          <w:smallCaps/>
          <w:sz w:val="40"/>
        </w:rPr>
        <w:t>FINAL VERSION</w:t>
      </w:r>
    </w:p>
    <w:p/>
    <w:p>
      <w:r>
        <w:tab/>
      </w:r>
      <w:r>
        <w:rPr>
          <w:i/>
          <w:color w:val="111111"/>
          <w:sz w:val="24"/>
        </w:rPr>
        <w:t>Report:</w:t>
      </w:r>
      <w:r>
        <w:tab/>
      </w:r>
      <w:r>
        <w:rPr>
          <w:color w:val="111111"/>
          <w:sz w:val="24"/>
        </w:rPr>
        <w:t>CORMAND</w:t>
      </w:r>
      <w:r>
        <w:tab/>
        <w:tab/>
      </w:r>
      <w:r>
        <w:rPr>
          <w:color w:val="111111"/>
          <w:sz w:val="24"/>
        </w:rPr>
        <w:t>(A9-0081/2020)</w:t>
      </w:r>
      <w:r>
        <w:tab/>
      </w:r>
      <w:r>
        <w:rPr>
          <w:b/>
          <w:color w:val="111111"/>
          <w:sz w:val="24"/>
        </w:rPr>
        <w:t>[init.]</w:t>
      </w:r>
    </w:p>
    <w:p>
      <w:r>
        <w:tab/>
      </w:r>
      <w:r>
        <w:tab/>
      </w:r>
      <w:r>
        <w:tab/>
      </w:r>
      <w:r>
        <w:rPr>
          <w:color w:val="111111"/>
          <w:sz w:val="24"/>
        </w:rPr>
        <w:t>EIB - annual report 2019</w:t>
      </w:r>
    </w:p>
    <w:p>
      <w:pPr>
        <w:rPr>
          <w:color w:val="111111"/>
          <w:sz w:val="24"/>
        </w:rPr>
      </w:pPr>
    </w:p>
    <w:p>
      <w:r>
        <w:tab/>
      </w:r>
      <w:r>
        <w:rPr>
          <w:i/>
          <w:color w:val="111111"/>
          <w:sz w:val="24"/>
        </w:rPr>
        <w:t>Committee:</w:t>
      </w:r>
      <w:r>
        <w:tab/>
      </w:r>
      <w:r>
        <w:rPr>
          <w:color w:val="111111"/>
          <w:sz w:val="24"/>
        </w:rPr>
        <w:t>Committee on Budgets</w:t>
      </w:r>
    </w:p>
    <w:p>
      <w:pPr>
        <w:rPr>
          <w:color w:val="111111"/>
          <w:sz w:val="24"/>
        </w:rPr>
      </w:pPr>
    </w:p>
    <w:tbl>
      <w:tblPr>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2636"/>
        <w:gridCol w:w="992"/>
        <w:gridCol w:w="1968"/>
        <w:gridCol w:w="1250"/>
        <w:gridCol w:w="709"/>
        <w:gridCol w:w="3126"/>
      </w:tblGrid>
      <w:tr>
        <w:tblPrEx>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tblHeader/>
        </w:trPr>
        <w:tc>
          <w:tcPr>
            <w:tcW w:w="2636" w:type="dxa"/>
            <w:tcBorders>
              <w:bottom w:val="single" w:sz="4" w:space="0" w:color="auto"/>
            </w:tcBorders>
            <w:shd w:val="pct25" w:color="auto" w:fill="FFFFFF"/>
          </w:tcPr>
          <w:p>
            <w:pPr>
              <w:spacing w:before="120" w:after="120"/>
              <w:jc w:val="center"/>
              <w:rPr>
                <w:smallCaps/>
                <w:sz w:val="24"/>
              </w:rPr>
            </w:pPr>
            <w:r>
              <w:rPr>
                <w:sz w:val="22"/>
              </w:rPr>
              <w:t>Subject of the amendment</w:t>
            </w:r>
          </w:p>
        </w:tc>
        <w:tc>
          <w:tcPr>
            <w:tcW w:w="992" w:type="dxa"/>
            <w:tcBorders>
              <w:bottom w:val="single" w:sz="4" w:space="0" w:color="auto"/>
            </w:tcBorders>
            <w:shd w:val="pct25" w:color="auto" w:fill="FFFFFF"/>
          </w:tcPr>
          <w:p>
            <w:pPr>
              <w:spacing w:before="120" w:after="120"/>
              <w:jc w:val="center"/>
              <w:rPr>
                <w:smallCaps/>
                <w:sz w:val="24"/>
              </w:rPr>
            </w:pPr>
            <w:r>
              <w:rPr>
                <w:sz w:val="22"/>
              </w:rPr>
              <w:t>Am No</w:t>
            </w:r>
          </w:p>
        </w:tc>
        <w:tc>
          <w:tcPr>
            <w:tcW w:w="1968" w:type="dxa"/>
            <w:tcBorders>
              <w:bottom w:val="single" w:sz="4" w:space="0" w:color="auto"/>
            </w:tcBorders>
            <w:shd w:val="pct25" w:color="auto" w:fill="FFFFFF"/>
          </w:tcPr>
          <w:p>
            <w:pPr>
              <w:spacing w:before="120" w:after="120"/>
              <w:jc w:val="center"/>
              <w:rPr>
                <w:smallCaps/>
                <w:sz w:val="24"/>
              </w:rPr>
            </w:pPr>
            <w:r>
              <w:rPr>
                <w:sz w:val="22"/>
              </w:rPr>
              <w:t>Author</w:t>
            </w:r>
          </w:p>
        </w:tc>
        <w:tc>
          <w:tcPr>
            <w:tcW w:w="1250" w:type="dxa"/>
            <w:tcBorders>
              <w:bottom w:val="single" w:sz="4" w:space="0" w:color="auto"/>
            </w:tcBorders>
            <w:shd w:val="pct25" w:color="auto" w:fill="FFFFFF"/>
          </w:tcPr>
          <w:p>
            <w:pPr>
              <w:spacing w:before="120" w:after="120"/>
              <w:jc w:val="center"/>
              <w:rPr>
                <w:smallCaps/>
                <w:sz w:val="24"/>
              </w:rPr>
            </w:pPr>
            <w:r>
              <w:rPr>
                <w:sz w:val="22"/>
              </w:rPr>
              <w:t>RCV etc.</w:t>
            </w:r>
          </w:p>
        </w:tc>
        <w:tc>
          <w:tcPr>
            <w:tcW w:w="709" w:type="dxa"/>
            <w:tcBorders>
              <w:bottom w:val="single" w:sz="4" w:space="0" w:color="auto"/>
            </w:tcBorders>
            <w:shd w:val="pct25" w:color="auto" w:fill="FFFFFF"/>
          </w:tcPr>
          <w:p>
            <w:pPr>
              <w:spacing w:before="120" w:after="120"/>
              <w:jc w:val="center"/>
              <w:rPr>
                <w:smallCaps/>
                <w:sz w:val="24"/>
              </w:rPr>
            </w:pPr>
            <w:r>
              <w:rPr>
                <w:sz w:val="22"/>
              </w:rPr>
              <w:t>Vote</w:t>
            </w:r>
          </w:p>
        </w:tc>
        <w:tc>
          <w:tcPr>
            <w:tcBorders>
              <w:bottom w:val="single" w:sz="4" w:space="0" w:color="auto"/>
            </w:tcBorders>
            <w:shd w:val="pct25" w:color="auto" w:fill="FFFFFF"/>
          </w:tcPr>
          <w:p>
            <w:pPr>
              <w:spacing w:before="120" w:after="120"/>
              <w:jc w:val="center"/>
              <w:rPr>
                <w:smallCaps/>
                <w:sz w:val="24"/>
              </w:rPr>
            </w:pPr>
            <w:r>
              <w:rPr>
                <w:sz w:val="22"/>
              </w:rPr>
              <w:t>Remarks</w:t>
            </w:r>
          </w:p>
        </w:tc>
      </w:tr>
      <w:tr>
        <w:tblPrEx>
          <w:tblW w:w="0" w:type="auto"/>
          <w:tblInd w:w="108" w:type="dxa"/>
          <w:tblLayout w:type="fixed"/>
          <w:tblCellMar>
            <w:top w:w="0" w:type="dxa"/>
            <w:bottom w:w="0" w:type="dxa"/>
          </w:tblCellMar>
          <w:tblLook w:val="0000"/>
        </w:tblPrEx>
        <w:tc>
          <w:tcPr/>
          <w:p>
            <w:pPr>
              <w:spacing w:before="120" w:after="120"/>
              <w:jc w:val="center"/>
            </w:pPr>
            <w:r>
              <w:rPr>
                <w:sz w:val="22"/>
              </w:rPr>
              <w:t>§ 1</w:t>
            </w:r>
          </w:p>
        </w:tc>
        <w:tc>
          <w:tcPr/>
          <w:p>
            <w:pPr>
              <w:spacing w:before="120" w:after="120"/>
              <w:jc w:val="center"/>
            </w:pPr>
            <w:r>
              <w:rPr>
                <w:sz w:val="22"/>
              </w:rPr>
              <w:t>4</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 2</w:t>
            </w:r>
          </w:p>
        </w:tc>
        <w:tc>
          <w:tcPr/>
          <w:p>
            <w:pPr>
              <w:spacing w:before="120" w:after="120"/>
              <w:jc w:val="center"/>
            </w:pPr>
            <w:r>
              <w:rPr>
                <w:sz w:val="22"/>
              </w:rPr>
              <w:t>15</w:t>
            </w:r>
          </w:p>
        </w:tc>
        <w:tc>
          <w:tcPr/>
          <w:p>
            <w:pPr>
              <w:spacing w:before="120" w:after="120"/>
              <w:jc w:val="center"/>
            </w:pPr>
            <w:r>
              <w:rPr>
                <w:sz w:val="22"/>
              </w:rPr>
              <w:t>Greens/</w:t>
            </w:r>
            <w:r>
              <w:t xml:space="preserve"> </w:t>
            </w:r>
            <w:r>
              <w:rPr>
                <w:sz w:val="22"/>
              </w:rPr>
              <w:t>EFA, EPP, S&amp;D, Renew</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 6</w:t>
            </w:r>
          </w:p>
        </w:tc>
        <w:tc>
          <w:tcPr/>
          <w:p>
            <w:pPr>
              <w:spacing w:before="120" w:after="120"/>
              <w:jc w:val="center"/>
            </w:pPr>
            <w:r>
              <w:rPr>
                <w:sz w:val="22"/>
              </w:rPr>
              <w:t>5</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11</w:t>
            </w:r>
          </w:p>
        </w:tc>
        <w:tc>
          <w:tcPr/>
          <w:p>
            <w:pPr>
              <w:spacing w:before="120" w:after="120"/>
              <w:jc w:val="center"/>
            </w:pPr>
            <w:r>
              <w:rPr>
                <w:sz w:val="22"/>
              </w:rPr>
              <w:t>6</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32</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35</w:t>
            </w:r>
          </w:p>
        </w:tc>
        <w:tc>
          <w:tcPr/>
          <w:p>
            <w:pPr>
              <w:spacing w:before="120" w:after="120"/>
              <w:jc w:val="center"/>
            </w:pPr>
            <w:r>
              <w:rPr>
                <w:sz w:val="22"/>
              </w:rPr>
              <w:t>§</w:t>
            </w:r>
          </w:p>
        </w:tc>
        <w:tc>
          <w:tcPr/>
          <w:p>
            <w:pPr>
              <w:spacing w:before="120" w:after="120"/>
              <w:jc w:val="center"/>
            </w:pPr>
            <w:r>
              <w:rPr>
                <w:b/>
                <w:i/>
                <w:sz w:val="22"/>
              </w:rPr>
              <w:t>original text</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37</w:t>
            </w:r>
          </w:p>
        </w:tc>
        <w:tc>
          <w:tcPr/>
          <w:p>
            <w:pPr>
              <w:spacing w:before="120" w:after="120"/>
              <w:jc w:val="center"/>
            </w:pPr>
            <w:r>
              <w:rPr>
                <w:sz w:val="22"/>
              </w:rPr>
              <w:t>1</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38</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 41</w:t>
            </w:r>
          </w:p>
        </w:tc>
        <w:tc>
          <w:tcPr>
            <w:tcW w:w="0" w:type="auto"/>
            <w:vMerge w:val="restart"/>
          </w:tcPr>
          <w:p>
            <w:pPr>
              <w:spacing w:before="120" w:after="120"/>
              <w:jc w:val="center"/>
            </w:pPr>
            <w:r>
              <w:rPr>
                <w:sz w:val="22"/>
              </w:rPr>
              <w:t>§</w:t>
            </w:r>
          </w:p>
        </w:tc>
        <w:tc>
          <w:tcPr>
            <w:tcW w:w="0" w:type="auto"/>
            <w:vMerge w:val="restart"/>
          </w:tcPr>
          <w:p>
            <w:pPr>
              <w:spacing w:before="120" w:after="120"/>
              <w:jc w:val="center"/>
            </w:pPr>
            <w:r>
              <w:rPr>
                <w:b/>
                <w:i/>
                <w:sz w:val="22"/>
              </w:rPr>
              <w:t>original text</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tcW w:w="0" w:type="auto"/>
            <w:vMerge w:val="restart"/>
          </w:tcPr>
          <w:p>
            <w:pPr>
              <w:spacing w:before="120" w:after="120"/>
              <w:jc w:val="center"/>
            </w:pPr>
            <w:r>
              <w:rPr>
                <w:sz w:val="22"/>
              </w:rPr>
              <w:t>After § 48</w:t>
            </w:r>
          </w:p>
        </w:tc>
        <w:tc>
          <w:tcPr>
            <w:tcW w:w="0" w:type="auto"/>
            <w:vMerge w:val="restart"/>
          </w:tcPr>
          <w:p>
            <w:pPr>
              <w:spacing w:before="120" w:after="120"/>
              <w:jc w:val="center"/>
            </w:pPr>
            <w:r>
              <w:rPr>
                <w:sz w:val="22"/>
              </w:rPr>
              <w:t>3</w:t>
            </w:r>
          </w:p>
        </w:tc>
        <w:tc>
          <w:tcPr>
            <w:tcW w:w="0" w:type="auto"/>
            <w:vMerge w:val="restart"/>
          </w:tcPr>
          <w:p>
            <w:pPr>
              <w:spacing w:before="120" w:after="120"/>
              <w:jc w:val="center"/>
            </w:pPr>
            <w:r>
              <w:rPr>
                <w:sz w:val="22"/>
              </w:rPr>
              <w:t>EPP</w:t>
            </w:r>
          </w:p>
        </w:tc>
        <w:tc>
          <w:tcPr/>
          <w:p>
            <w:pPr>
              <w:spacing w:before="120" w:after="120"/>
            </w:pPr>
            <w:r>
              <w:rPr>
                <w:sz w:val="22"/>
              </w:rPr>
              <w:t>split</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1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2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vMerge/>
          </w:tcPr>
          <w:p>
            <w:pPr>
              <w:spacing w:before="120" w:after="120"/>
              <w:jc w:val="center"/>
            </w:pPr>
          </w:p>
        </w:tc>
        <w:tc>
          <w:tcPr>
            <w:vMerge/>
          </w:tcPr>
          <w:p>
            <w:pPr>
              <w:spacing w:before="120" w:after="120"/>
              <w:jc w:val="center"/>
            </w:pPr>
          </w:p>
        </w:tc>
        <w:tc>
          <w:tcPr>
            <w:vMerge/>
          </w:tcPr>
          <w:p>
            <w:pPr>
              <w:spacing w:before="120" w:after="120"/>
              <w:jc w:val="center"/>
            </w:pPr>
          </w:p>
        </w:tc>
        <w:tc>
          <w:tcPr/>
          <w:p>
            <w:pPr>
              <w:spacing w:before="120" w:after="120"/>
            </w:pPr>
            <w:r>
              <w:rPr>
                <w:sz w:val="22"/>
              </w:rPr>
              <w:t>3 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55</w:t>
            </w:r>
          </w:p>
        </w:tc>
        <w:tc>
          <w:tcPr/>
          <w:p>
            <w:pPr>
              <w:spacing w:before="120" w:after="120"/>
              <w:jc w:val="center"/>
            </w:pPr>
            <w:r>
              <w:rPr>
                <w:sz w:val="22"/>
              </w:rPr>
              <w:t>§</w:t>
            </w:r>
          </w:p>
        </w:tc>
        <w:tc>
          <w:tcPr/>
          <w:p>
            <w:pPr>
              <w:spacing w:before="120" w:after="120"/>
              <w:jc w:val="center"/>
            </w:pPr>
            <w:r>
              <w:rPr>
                <w:b/>
                <w:i/>
                <w:sz w:val="22"/>
              </w:rPr>
              <w:t>original text</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57</w:t>
            </w:r>
          </w:p>
        </w:tc>
        <w:tc>
          <w:tcPr/>
          <w:p>
            <w:pPr>
              <w:spacing w:before="120" w:after="120"/>
              <w:jc w:val="center"/>
            </w:pPr>
            <w:r>
              <w:rPr>
                <w:sz w:val="22"/>
              </w:rPr>
              <w:t>7</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63</w:t>
            </w:r>
          </w:p>
        </w:tc>
        <w:tc>
          <w:tcPr/>
          <w:p>
            <w:pPr>
              <w:spacing w:before="120" w:after="120"/>
              <w:jc w:val="center"/>
            </w:pPr>
            <w:r>
              <w:rPr>
                <w:sz w:val="22"/>
              </w:rPr>
              <w:t>8</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 65</w:t>
            </w:r>
          </w:p>
        </w:tc>
        <w:tc>
          <w:tcPr/>
          <w:p>
            <w:pPr>
              <w:spacing w:before="120" w:after="120"/>
              <w:jc w:val="center"/>
            </w:pPr>
            <w:r>
              <w:rPr>
                <w:sz w:val="22"/>
              </w:rPr>
              <w:t>9</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72</w:t>
            </w:r>
          </w:p>
        </w:tc>
        <w:tc>
          <w:tcPr/>
          <w:p>
            <w:pPr>
              <w:spacing w:before="120" w:after="120"/>
              <w:jc w:val="center"/>
            </w:pPr>
            <w:r>
              <w:rPr>
                <w:sz w:val="22"/>
              </w:rPr>
              <w:t>§</w:t>
            </w:r>
          </w:p>
        </w:tc>
        <w:tc>
          <w:tcPr/>
          <w:p>
            <w:pPr>
              <w:spacing w:before="120" w:after="120"/>
              <w:jc w:val="center"/>
            </w:pPr>
            <w:r>
              <w:rPr>
                <w:b/>
                <w:i/>
                <w:sz w:val="22"/>
              </w:rPr>
              <w:t>original text</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73</w:t>
            </w:r>
          </w:p>
        </w:tc>
        <w:tc>
          <w:tcPr/>
          <w:p>
            <w:pPr>
              <w:spacing w:before="120" w:after="120"/>
              <w:jc w:val="center"/>
            </w:pPr>
            <w:r>
              <w:rPr>
                <w:sz w:val="22"/>
              </w:rPr>
              <w:t>10</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 76</w:t>
            </w:r>
          </w:p>
        </w:tc>
        <w:tc>
          <w:tcPr/>
          <w:p>
            <w:pPr>
              <w:spacing w:before="120" w:after="120"/>
              <w:jc w:val="center"/>
            </w:pPr>
            <w:r>
              <w:rPr>
                <w:sz w:val="22"/>
              </w:rPr>
              <w:t>11</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80</w:t>
            </w:r>
          </w:p>
        </w:tc>
        <w:tc>
          <w:tcPr/>
          <w:p>
            <w:pPr>
              <w:spacing w:before="120" w:after="120"/>
              <w:jc w:val="center"/>
            </w:pPr>
            <w:r>
              <w:rPr>
                <w:sz w:val="22"/>
              </w:rPr>
              <w:t>12</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82</w:t>
            </w:r>
          </w:p>
        </w:tc>
        <w:tc>
          <w:tcPr/>
          <w:p>
            <w:pPr>
              <w:spacing w:before="120" w:after="120"/>
              <w:jc w:val="center"/>
            </w:pPr>
            <w:r>
              <w:rPr>
                <w:sz w:val="22"/>
              </w:rPr>
              <w:t>13</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After § 83</w:t>
            </w:r>
          </w:p>
        </w:tc>
        <w:tc>
          <w:tcPr/>
          <w:p>
            <w:pPr>
              <w:spacing w:before="120" w:after="120"/>
              <w:jc w:val="center"/>
            </w:pPr>
            <w:r>
              <w:rPr>
                <w:sz w:val="22"/>
              </w:rPr>
              <w:t>16</w:t>
            </w:r>
          </w:p>
        </w:tc>
        <w:tc>
          <w:tcPr/>
          <w:p>
            <w:pPr>
              <w:spacing w:before="120" w:after="120"/>
              <w:jc w:val="center"/>
            </w:pPr>
            <w:r>
              <w:rPr>
                <w:sz w:val="22"/>
              </w:rPr>
              <w:t>Greens/</w:t>
            </w:r>
            <w:r>
              <w:t xml:space="preserve"> </w:t>
            </w:r>
            <w:r>
              <w:rPr>
                <w:sz w:val="22"/>
              </w:rPr>
              <w:t>EFA, S&amp;D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84</w:t>
            </w:r>
          </w:p>
        </w:tc>
        <w:tc>
          <w:tcPr/>
          <w:p>
            <w:pPr>
              <w:spacing w:before="120" w:after="120"/>
              <w:jc w:val="center"/>
            </w:pPr>
            <w:r>
              <w:rPr>
                <w:sz w:val="22"/>
              </w:rPr>
              <w:t>14</w:t>
            </w:r>
          </w:p>
        </w:tc>
        <w:tc>
          <w:tcPr/>
          <w:p>
            <w:pPr>
              <w:spacing w:before="120" w:after="120"/>
              <w:jc w:val="center"/>
            </w:pPr>
            <w:r>
              <w:rPr>
                <w:sz w:val="22"/>
              </w:rPr>
              <w:t>ID</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p>
            <w:pPr>
              <w:spacing w:before="120" w:after="120"/>
              <w:jc w:val="center"/>
            </w:pPr>
            <w:r>
              <w:rPr>
                <w:sz w:val="22"/>
              </w:rPr>
              <w:t>§ 89</w:t>
            </w:r>
          </w:p>
        </w:tc>
        <w:tc>
          <w:tcPr/>
          <w:p>
            <w:pPr>
              <w:spacing w:before="120" w:after="120"/>
              <w:jc w:val="center"/>
            </w:pPr>
            <w:r>
              <w:rPr>
                <w:sz w:val="22"/>
              </w:rPr>
              <w:t>2</w:t>
            </w:r>
          </w:p>
        </w:tc>
        <w:tc>
          <w:tcPr/>
          <w:p>
            <w:pPr>
              <w:spacing w:before="120" w:after="120"/>
              <w:jc w:val="center"/>
            </w:pPr>
            <w:r>
              <w:rPr>
                <w:sz w:val="22"/>
              </w:rPr>
              <w:t>EUL/NGL</w:t>
            </w:r>
          </w:p>
        </w:tc>
        <w:tc>
          <w:tcPr/>
          <w:p>
            <w:pPr>
              <w:spacing w:before="120" w:after="120"/>
            </w:pPr>
            <w:r>
              <w:rPr>
                <w:sz w:val="22"/>
              </w:rPr>
              <w:t>RCV</w:t>
            </w:r>
          </w:p>
        </w:tc>
        <w:tc>
          <w:tcPr/>
          <w:p>
            <w:pPr>
              <w:spacing w:before="120" w:after="120"/>
              <w:jc w:val="center"/>
            </w:pPr>
          </w:p>
        </w:tc>
        <w:tc>
          <w:tcPr/>
          <w:p>
            <w:pPr>
              <w:spacing w:before="120" w:after="120"/>
              <w:jc w:val="center"/>
            </w:pPr>
          </w:p>
        </w:tc>
      </w:tr>
      <w:tr>
        <w:tblPrEx>
          <w:tblW w:w="0" w:type="auto"/>
          <w:tblInd w:w="108" w:type="dxa"/>
          <w:tblLayout w:type="fixed"/>
          <w:tblCellMar>
            <w:top w:w="0" w:type="dxa"/>
            <w:bottom w:w="0" w:type="dxa"/>
          </w:tblCellMar>
          <w:tblLook w:val="0000"/>
        </w:tblPrEx>
        <w:tc>
          <w:tcPr>
            <w:gridSpan w:val="3"/>
          </w:tcPr>
          <w:p>
            <w:pPr>
              <w:spacing w:before="120" w:after="120"/>
              <w:jc w:val="center"/>
            </w:pPr>
            <w:r>
              <w:rPr>
                <w:b/>
                <w:i/>
                <w:sz w:val="22"/>
              </w:rPr>
              <w:t>vote: resolution (as a whole)</w:t>
            </w:r>
          </w:p>
        </w:tc>
        <w:tc>
          <w:tcPr/>
          <w:p>
            <w:pPr>
              <w:spacing w:before="120" w:after="120"/>
            </w:pPr>
            <w:r>
              <w:rPr>
                <w:sz w:val="22"/>
              </w:rPr>
              <w:t>RCV</w:t>
            </w:r>
          </w:p>
        </w:tc>
        <w:tc>
          <w:tcPr/>
          <w:p>
            <w:pPr>
              <w:spacing w:before="120" w:after="120"/>
              <w:jc w:val="center"/>
            </w:pPr>
          </w:p>
        </w:tc>
        <w:tc>
          <w:tcPr/>
          <w:p>
            <w:pPr>
              <w:spacing w:before="120" w:after="120"/>
              <w:jc w:val="center"/>
            </w:pPr>
          </w:p>
        </w:tc>
      </w:tr>
    </w:tbl>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 xml:space="preserve">All votes are taken by </w:t>
      </w:r>
      <w:r>
        <w:rPr>
          <w:b/>
          <w:sz w:val="22"/>
        </w:rPr>
        <w:t>roll-call</w:t>
      </w:r>
      <w:r>
        <w:rPr>
          <w:b/>
          <w:sz w:val="22"/>
        </w:rPr>
        <w:t>.</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u w:val="single"/>
        </w:rPr>
        <w:t>Requests for separate votes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EPP:</w:t>
      </w:r>
      <w:r>
        <w:tab/>
      </w:r>
      <w:r>
        <w:rPr>
          <w:sz w:val="22"/>
        </w:rPr>
        <w:t>§ 35, 55 and 72</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u w:val="single"/>
        </w:rPr>
        <w:t>Requests for split votes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Greens/ EFA</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38</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w:t>
      </w:r>
      <w:r>
        <w:rPr>
          <w:i/>
          <w:sz w:val="22"/>
        </w:rPr>
        <w:t xml:space="preserve"> part:</w:t>
      </w:r>
      <w:r>
        <w:tab/>
      </w:r>
      <w:r>
        <w:tab/>
      </w:r>
      <w:r>
        <w:rPr>
          <w:sz w:val="22"/>
        </w:rPr>
        <w:t>Text as a whole</w:t>
      </w:r>
      <w:r>
        <w:t xml:space="preserve"> </w:t>
      </w:r>
      <w:r>
        <w:rPr>
          <w:sz w:val="22"/>
        </w:rPr>
        <w:t>excluding the words “for aviation” and “aviation”</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w:t>
      </w:r>
      <w:r>
        <w:rPr>
          <w:i/>
          <w:sz w:val="22"/>
        </w:rPr>
        <w:t xml:space="preserve"> part:</w:t>
      </w:r>
      <w:r>
        <w:tab/>
      </w:r>
      <w:r>
        <w:tab/>
      </w:r>
      <w:r>
        <w:rPr>
          <w:sz w:val="22"/>
        </w:rPr>
        <w:t>These words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AM 3</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 part:</w:t>
      </w:r>
      <w:r>
        <w:tab/>
      </w:r>
      <w:r>
        <w:tab/>
      </w:r>
      <w:r>
        <w:rPr>
          <w:sz w:val="22"/>
        </w:rPr>
        <w:t>Text as a whole</w:t>
      </w:r>
      <w:r>
        <w:t xml:space="preserve"> </w:t>
      </w:r>
      <w:r>
        <w:rPr>
          <w:sz w:val="22"/>
        </w:rPr>
        <w:t>excluding the words “that, irrespective of” and the words “regenerative growth and”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 part:</w:t>
      </w:r>
      <w:r>
        <w:tab/>
      </w:r>
      <w:r>
        <w:tab/>
      </w:r>
      <w:r>
        <w:rPr>
          <w:sz w:val="22"/>
        </w:rPr>
        <w:t>“that, irrespective of”</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3rd part:</w:t>
      </w:r>
      <w:r>
        <w:tab/>
      </w:r>
      <w:r>
        <w:tab/>
      </w:r>
      <w:r>
        <w:rPr>
          <w:sz w:val="22"/>
        </w:rPr>
        <w:t>“regenerative growth and”</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b/>
          <w:sz w:val="22"/>
        </w:rPr>
        <w:t>EPP:</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32</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w:t>
      </w:r>
      <w:r>
        <w:rPr>
          <w:i/>
          <w:sz w:val="22"/>
        </w:rPr>
        <w:t xml:space="preserve"> part:</w:t>
      </w:r>
      <w:r>
        <w:tab/>
      </w:r>
      <w:r>
        <w:tab/>
      </w:r>
      <w:r>
        <w:rPr>
          <w:sz w:val="22"/>
        </w:rPr>
        <w:t>“Welcomes the revised ... of their emissions;”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w:t>
      </w:r>
      <w:r>
        <w:rPr>
          <w:i/>
          <w:sz w:val="22"/>
        </w:rPr>
        <w:t xml:space="preserve"> part:</w:t>
      </w:r>
      <w:r>
        <w:tab/>
      </w:r>
      <w:r>
        <w:tab/>
      </w:r>
      <w:r>
        <w:rPr>
          <w:sz w:val="22"/>
        </w:rPr>
        <w:t>“calls for stringent ... utilisation rates calculations;”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 41</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1st</w:t>
      </w:r>
      <w:r>
        <w:rPr>
          <w:i/>
          <w:sz w:val="22"/>
        </w:rPr>
        <w:t xml:space="preserve"> part:</w:t>
      </w:r>
      <w:r>
        <w:tab/>
      </w:r>
      <w:r>
        <w:tab/>
      </w:r>
      <w:r>
        <w:rPr>
          <w:sz w:val="22"/>
        </w:rPr>
        <w:t>“Welcomes the hydropower ... all infrastucture projects;”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rPr>
        <w:t>2nd</w:t>
      </w:r>
      <w:r>
        <w:rPr>
          <w:i/>
          <w:sz w:val="22"/>
        </w:rPr>
        <w:t xml:space="preserve"> part:</w:t>
      </w:r>
      <w:r>
        <w:tab/>
      </w:r>
      <w:r>
        <w:tab/>
      </w:r>
      <w:r>
        <w:rPr>
          <w:sz w:val="22"/>
        </w:rPr>
        <w:t>“including those financed by financial intermediaries;”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Paragraph 43 should read as follows: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“43.</w:t>
      </w:r>
      <w:r>
        <w:t xml:space="preserve"> </w:t>
      </w:r>
      <w:r>
        <w:rPr>
          <w:sz w:val="22"/>
        </w:rPr>
        <w:t>Underlines the crucial role of the EIB in meeting the objectives set out in the Sustainable Europe Investment Plan and achieving the goals of the European Green Deal (EGD) and the Just Transition Mechanism (JTM), while recognising the importance of both private and public sectors in delivering over the next seven years the investment targets of EUR 1 trillion and EUR 100 </w:t>
      </w:r>
      <w:r>
        <w:rPr>
          <w:b/>
          <w:i/>
          <w:sz w:val="22"/>
        </w:rPr>
        <w:t>billion</w:t>
      </w:r>
      <w:r>
        <w:rPr>
          <w:sz w:val="22"/>
        </w:rPr>
        <w:t xml:space="preserve"> under the EGD and the JTM respectively;”</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rPr>
          <w:color w:val="111111"/>
        </w:rPr>
      </w:pPr>
    </w:p>
    <w:p>
      <w:pPr>
        <w:rPr>
          <w:color w:val="111111"/>
        </w:rPr>
      </w:pPr>
    </w:p>
    <w:sectPr>
      <w:footerReference w:type="even" r:id="rId4"/>
      <w:footerReference w:type="default" r:id="rId5"/>
      <w:pgSz w:w="11907" w:h="16840" w:code="9"/>
      <w:pgMar w:top="567" w:right="567" w:bottom="567" w:left="567" w:header="720" w:footer="720" w:gutter="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rPr>
      <w:fldChar w:fldCharType="end"/>
    </w:r>
  </w:p>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noProof/>
      </w:rPr>
      <w:t>1</w:t>
    </w:r>
    <w:r>
      <w:rPr>
        <w:rStyle w:val="DefaultParagraphFont"/>
      </w:rPr>
      <w:fldChar w:fldCharType="end"/>
    </w:r>
  </w:p>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splitPgBreakAndParaMark/>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lang w:val="en-GB"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