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EICKHOUT</w:t>
      </w:r>
      <w:r>
        <w:tab/>
        <w:tab/>
      </w:r>
      <w:r>
        <w:rPr>
          <w:color w:val="111111"/>
          <w:sz w:val="24"/>
        </w:rPr>
        <w:t>(A9-0118/2020)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EIB - annual report 2018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9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20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36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 xml:space="preserve">original </w:t>
            </w:r>
            <w:r>
              <w:rPr>
                <w:b/>
                <w:i/>
                <w:sz w:val="22"/>
              </w:rPr>
              <w:t>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71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81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15 = 5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 xml:space="preserve">All votes are taken by </w:t>
      </w:r>
      <w:r>
        <w:rPr>
          <w:b/>
          <w:sz w:val="22"/>
        </w:rPr>
        <w:t>roll-call</w:t>
      </w:r>
      <w:r>
        <w:rPr>
          <w:b/>
          <w:sz w:val="22"/>
        </w:rPr>
        <w:t>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</w:rPr>
        <w:t>§ 9, 12, 15, 16, 19 and 20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Greens/</w:t>
      </w:r>
      <w:r>
        <w:t xml:space="preserve"> </w:t>
      </w:r>
      <w:r>
        <w:rPr>
          <w:sz w:val="22"/>
        </w:rPr>
        <w:t>EFA:</w:t>
      </w:r>
      <w:r>
        <w:tab/>
      </w:r>
      <w:r>
        <w:rPr>
          <w:sz w:val="22"/>
        </w:rPr>
        <w:t>§ 36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EPP: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“Considers the new ... a major improvement,”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“In particular the ... end of 2021”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“and the example ... Sustainable Finance Taxonomy;”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“or so called ‘European climate bank’”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“Stresses that the ... a “Climate Bank””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... the climate targets”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