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VERSION/2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WARBORN</w:t>
      </w:r>
      <w:r>
        <w:tab/>
        <w:tab/>
      </w:r>
      <w:r>
        <w:rPr>
          <w:color w:val="111111"/>
          <w:sz w:val="24"/>
        </w:rPr>
        <w:t>(A9-0160/2020)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Common commercial policy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International Trade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6 = 29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15 = 30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17 = 31 and 36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31 = 36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37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43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21 = 32 and 2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32 = 2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48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48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49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35/rev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52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54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56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34 = 25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67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G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J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J a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ECR:</w:t>
      </w:r>
      <w:r>
        <w:tab/>
      </w:r>
      <w:r>
        <w:tab/>
      </w:r>
      <w:r>
        <w:rPr>
          <w:sz w:val="22"/>
        </w:rPr>
        <w:t>§ 68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ECR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52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“a European Green Deal ... actively supported by”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54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“Recalls that the ... of child labour;”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“deplores the fact ... by the agreement;”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§67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 excluding the words “urgently”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ID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Am 36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 excluding the words “is extremely ... biodiversity” and “in these circumstances”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  <w:highlight w:val="yellow"/>
          <w:u w:val="single"/>
        </w:rPr>
        <w:t>Miscellaneous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  <w:highlight w:val="yellow"/>
        </w:rPr>
        <w:t>The text of paragraph 54 will read as follows: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  <w:highlight w:val="yellow"/>
        </w:rPr>
        <w:t xml:space="preserve">54. Recalls that the early efforts of the Commission and Parliament in the trade negotiations with Mexico and Vietnam successfully encouraged the ratification by both countries, respectively in November 2018 </w:t>
      </w:r>
      <w:r>
        <w:rPr>
          <w:sz w:val="22"/>
          <w:highlight w:val="yellow"/>
        </w:rPr>
        <w:t>and June 2019, of ILO Convention 98 on the right to organise and collective bargaining; congratulates both countries for such an important step; calls on the Commission to monitor the progress made with respect to the implementation of other ILO convention</w:t>
      </w:r>
      <w:r>
        <w:rPr>
          <w:sz w:val="22"/>
          <w:highlight w:val="yellow"/>
        </w:rPr>
        <w:t>s, and to set up without delay the interparliamentary committee as agreed under the EVFTA, paying special attention to the prohibition of child labour; deplores the fact that Vietnam has not ratified ILO Convention</w:t>
      </w:r>
      <w:r>
        <w:rPr>
          <w:strike/>
          <w:sz w:val="22"/>
          <w:highlight w:val="yellow"/>
        </w:rPr>
        <w:t>s</w:t>
      </w:r>
      <w:r>
        <w:rPr>
          <w:sz w:val="22"/>
          <w:highlight w:val="yellow"/>
        </w:rPr>
        <w:t xml:space="preserve"> 87 </w:t>
      </w:r>
      <w:r>
        <w:rPr>
          <w:strike/>
          <w:sz w:val="22"/>
          <w:highlight w:val="yellow"/>
        </w:rPr>
        <w:t>and 105</w:t>
      </w:r>
      <w:r>
        <w:rPr>
          <w:sz w:val="22"/>
          <w:highlight w:val="yellow"/>
        </w:rPr>
        <w:t xml:space="preserve"> on Freedom of Association </w:t>
      </w:r>
      <w:r>
        <w:rPr>
          <w:strike/>
          <w:sz w:val="22"/>
          <w:highlight w:val="yellow"/>
        </w:rPr>
        <w:t>and</w:t>
      </w:r>
      <w:r>
        <w:rPr>
          <w:strike/>
          <w:sz w:val="22"/>
          <w:highlight w:val="yellow"/>
        </w:rPr>
        <w:t xml:space="preserve"> Forced Labour</w:t>
      </w:r>
      <w:r>
        <w:rPr>
          <w:sz w:val="22"/>
          <w:highlight w:val="yellow"/>
        </w:rPr>
        <w:t xml:space="preserve">; calls on the Commission to monitor the situation closely and to request consultations with the Vietnamese government should it fail to make continued and sustained efforts towards ratifying </w:t>
      </w:r>
      <w:r>
        <w:rPr>
          <w:strike/>
          <w:sz w:val="22"/>
          <w:highlight w:val="yellow"/>
        </w:rPr>
        <w:t>them</w:t>
      </w:r>
      <w:r>
        <w:rPr>
          <w:sz w:val="22"/>
          <w:highlight w:val="yellow"/>
        </w:rPr>
        <w:t>, as foreseen by the agreement;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