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VOSS</w:t>
      </w:r>
      <w:r>
        <w:tab/>
        <w:tab/>
      </w:r>
      <w:r>
        <w:rPr>
          <w:color w:val="111111"/>
          <w:sz w:val="24"/>
        </w:rPr>
        <w:t>(A9-0178/2020)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AI: Civil liability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Legal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Majority of Parliament’s component Members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Miscellaneous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The following citations will be inserted into the original text: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- having regard to the European added value assessment carried out by the European Parliament Research Service, entitled 'Civil liability regime for artificial intelligence: 'European Added Value Assessment' 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____________________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1  https://www.europarl.europa.eu/thinktank/en/document.html?reference=EPRS_STU(2020)654178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Article 5 – paragraph 1 – point b should read: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(b)</w:t>
      </w:r>
      <w:r>
        <w:tab/>
      </w:r>
      <w:r>
        <w:rPr>
          <w:sz w:val="22"/>
        </w:rPr>
        <w:t>up to a maximum amount of EUR one million in the event of significant immaterial harm that results in a verifiable economic loss or of damage caused to property, including when several items of property of an affected person were damaged as a result of a single operation of a single high-risk AI-system; where the affected person also holds a contractual liability claim against the operator, no compensation shall be paid under this Regulation, if the total amount of the damage to property or the significant immaterial harm is of a value that falls below [EUR 500]10.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_____________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10</w:t>
      </w:r>
      <w:r>
        <w:tab/>
      </w:r>
      <w:r>
        <w:rPr>
          <w:sz w:val="22"/>
        </w:rPr>
        <w:t>To be revised by the European Commission as set out in paragraph 16 of the motion for resolution.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